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58C4" w:rsidRDefault="00C81E39">
      <w:pPr>
        <w:pStyle w:val="Heading1"/>
        <w:ind w:left="0" w:firstLine="0"/>
        <w:rPr>
          <w:rFonts w:ascii="Arial" w:eastAsia="Arial" w:hAnsi="Arial" w:cs="Arial"/>
          <w:sz w:val="36"/>
          <w:szCs w:val="36"/>
        </w:rPr>
      </w:pPr>
      <w:bookmarkStart w:id="0" w:name="_GoBack"/>
      <w:bookmarkEnd w:id="0"/>
      <w:r>
        <w:rPr>
          <w:rFonts w:ascii="Arial" w:eastAsia="Arial" w:hAnsi="Arial" w:cs="Arial"/>
          <w:smallCaps w:val="0"/>
          <w:sz w:val="36"/>
          <w:szCs w:val="36"/>
        </w:rPr>
        <w:t>Call-Off Schedule 22 (Lease Terms)</w:t>
      </w:r>
    </w:p>
    <w:p w:rsidR="002E58C4" w:rsidRDefault="00C81E39">
      <w:pPr>
        <w:pStyle w:val="Heading2"/>
        <w:ind w:left="0" w:firstLine="0"/>
        <w:rPr>
          <w:rFonts w:ascii="Arial" w:eastAsia="Arial" w:hAnsi="Arial" w:cs="Arial"/>
          <w:b/>
          <w:sz w:val="24"/>
          <w:szCs w:val="24"/>
        </w:rPr>
      </w:pPr>
      <w:bookmarkStart w:id="1" w:name="_heading=h.gjdgxs" w:colFirst="0" w:colLast="0"/>
      <w:bookmarkEnd w:id="1"/>
      <w:r>
        <w:rPr>
          <w:rFonts w:ascii="Arial" w:eastAsia="Arial" w:hAnsi="Arial" w:cs="Arial"/>
          <w:b/>
          <w:sz w:val="24"/>
          <w:szCs w:val="24"/>
        </w:rPr>
        <w:t>1. Introduction</w:t>
      </w:r>
    </w:p>
    <w:p w:rsidR="002E58C4" w:rsidRDefault="00C81E39">
      <w:pPr>
        <w:pStyle w:val="Heading2"/>
        <w:ind w:left="0" w:firstLine="0"/>
        <w:rPr>
          <w:rFonts w:ascii="Arial" w:eastAsia="Arial" w:hAnsi="Arial" w:cs="Arial"/>
          <w:sz w:val="24"/>
          <w:szCs w:val="24"/>
        </w:rPr>
      </w:pPr>
      <w:bookmarkStart w:id="2" w:name="_heading=h.30j0zll" w:colFirst="0" w:colLast="0"/>
      <w:bookmarkEnd w:id="2"/>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rsidR="002E58C4" w:rsidRDefault="00C81E39">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rsidR="002E58C4" w:rsidRDefault="00C81E39">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3"/>
        <w:tblW w:w="7800" w:type="dxa"/>
        <w:jc w:val="center"/>
        <w:tblLayout w:type="fixed"/>
        <w:tblLook w:val="0000" w:firstRow="0" w:lastRow="0" w:firstColumn="0" w:lastColumn="0" w:noHBand="0" w:noVBand="0"/>
      </w:tblPr>
      <w:tblGrid>
        <w:gridCol w:w="2370"/>
        <w:gridCol w:w="40"/>
        <w:gridCol w:w="5355"/>
        <w:gridCol w:w="35"/>
      </w:tblGrid>
      <w:tr w:rsidR="002E58C4">
        <w:trPr>
          <w:trHeight w:val="720"/>
          <w:jc w:val="center"/>
        </w:trPr>
        <w:tc>
          <w:tcPr>
            <w:tcW w:w="2370" w:type="dxa"/>
          </w:tcPr>
          <w:p w:rsidR="002E58C4" w:rsidRDefault="00C81E39">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430" w:type="dxa"/>
            <w:gridSpan w:val="3"/>
          </w:tcPr>
          <w:p w:rsidR="002E58C4" w:rsidRDefault="00C81E39">
            <w:pPr>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2E58C4">
        <w:trPr>
          <w:jc w:val="center"/>
        </w:trPr>
        <w:tc>
          <w:tcPr>
            <w:tcW w:w="2370" w:type="dxa"/>
          </w:tcPr>
          <w:p w:rsidR="002E58C4" w:rsidRDefault="00C81E39">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430" w:type="dxa"/>
            <w:gridSpan w:val="3"/>
          </w:tcPr>
          <w:p w:rsidR="002E58C4" w:rsidRDefault="00C81E39">
            <w:pPr>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2E58C4">
        <w:trPr>
          <w:jc w:val="center"/>
        </w:trPr>
        <w:tc>
          <w:tcPr>
            <w:tcW w:w="2370" w:type="dxa"/>
          </w:tcPr>
          <w:p w:rsidR="002E58C4" w:rsidRDefault="00C81E39">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"Agreement Mileage"</w:t>
            </w:r>
          </w:p>
        </w:tc>
        <w:tc>
          <w:tcPr>
            <w:tcW w:w="5430" w:type="dxa"/>
            <w:gridSpan w:val="3"/>
          </w:tcPr>
          <w:p w:rsidR="002E58C4" w:rsidRDefault="00C81E39">
            <w:pPr>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mileage so specified in the Equipment Order (or such other mileage as the Buyer and the Supplier agree from time to time);</w:t>
            </w:r>
          </w:p>
        </w:tc>
      </w:tr>
      <w:tr w:rsidR="002E58C4">
        <w:trPr>
          <w:jc w:val="center"/>
        </w:trPr>
        <w:tc>
          <w:tcPr>
            <w:tcW w:w="2370" w:type="dxa"/>
          </w:tcPr>
          <w:p w:rsidR="002E58C4" w:rsidRDefault="00C81E39">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430" w:type="dxa"/>
            <w:gridSpan w:val="3"/>
          </w:tcPr>
          <w:p w:rsidR="002E58C4" w:rsidRDefault="00C81E39">
            <w:pPr>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place for delivery specified in the Equipment Order;</w:t>
            </w:r>
          </w:p>
        </w:tc>
      </w:tr>
      <w:tr w:rsidR="002E58C4">
        <w:trPr>
          <w:jc w:val="center"/>
        </w:trPr>
        <w:tc>
          <w:tcPr>
            <w:tcW w:w="2370" w:type="dxa"/>
          </w:tcPr>
          <w:p w:rsidR="002E58C4" w:rsidRDefault="00C81E39">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p w:rsidR="002E58C4" w:rsidRDefault="002E58C4">
            <w:pPr>
              <w:pBdr>
                <w:top w:val="nil"/>
                <w:left w:val="nil"/>
                <w:bottom w:val="nil"/>
                <w:right w:val="nil"/>
                <w:between w:val="nil"/>
              </w:pBdr>
              <w:ind w:left="-141"/>
              <w:rPr>
                <w:rFonts w:ascii="Arial" w:eastAsia="Arial" w:hAnsi="Arial" w:cs="Arial"/>
                <w:b/>
                <w:color w:val="000000"/>
              </w:rPr>
            </w:pPr>
          </w:p>
          <w:p w:rsidR="002E58C4" w:rsidRDefault="00C81E39">
            <w:pPr>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“Early Termination”</w:t>
            </w:r>
          </w:p>
          <w:p w:rsidR="002E58C4" w:rsidRDefault="002E58C4">
            <w:pPr>
              <w:pBdr>
                <w:top w:val="nil"/>
                <w:left w:val="nil"/>
                <w:bottom w:val="nil"/>
                <w:right w:val="nil"/>
                <w:between w:val="nil"/>
              </w:pBdr>
              <w:ind w:left="-141"/>
              <w:rPr>
                <w:rFonts w:ascii="Arial" w:eastAsia="Arial" w:hAnsi="Arial" w:cs="Arial"/>
                <w:b/>
                <w:color w:val="000000"/>
              </w:rPr>
            </w:pPr>
          </w:p>
          <w:p w:rsidR="002E58C4" w:rsidRDefault="002E58C4">
            <w:pPr>
              <w:pBdr>
                <w:top w:val="nil"/>
                <w:left w:val="nil"/>
                <w:bottom w:val="nil"/>
                <w:right w:val="nil"/>
                <w:between w:val="nil"/>
              </w:pBdr>
              <w:rPr>
                <w:rFonts w:ascii="Arial" w:eastAsia="Arial" w:hAnsi="Arial" w:cs="Arial"/>
                <w:b/>
                <w:color w:val="000000"/>
              </w:rPr>
            </w:pPr>
          </w:p>
          <w:p w:rsidR="002E58C4" w:rsidRDefault="00C81E39">
            <w:pPr>
              <w:pBdr>
                <w:top w:val="nil"/>
                <w:left w:val="nil"/>
                <w:bottom w:val="nil"/>
                <w:right w:val="nil"/>
                <w:between w:val="nil"/>
              </w:pBdr>
              <w:ind w:left="-120"/>
              <w:rPr>
                <w:rFonts w:ascii="Arial" w:eastAsia="Arial" w:hAnsi="Arial" w:cs="Arial"/>
                <w:b/>
                <w:color w:val="000000"/>
              </w:rPr>
            </w:pPr>
            <w:r>
              <w:rPr>
                <w:rFonts w:ascii="Arial" w:eastAsia="Arial" w:hAnsi="Arial" w:cs="Arial"/>
                <w:b/>
                <w:color w:val="000000"/>
              </w:rPr>
              <w:t>“Early Termination Charge”</w:t>
            </w:r>
          </w:p>
          <w:p w:rsidR="002E58C4" w:rsidRDefault="002E58C4">
            <w:pPr>
              <w:pBdr>
                <w:top w:val="nil"/>
                <w:left w:val="nil"/>
                <w:bottom w:val="nil"/>
                <w:right w:val="nil"/>
                <w:between w:val="nil"/>
              </w:pBdr>
              <w:ind w:left="-141"/>
              <w:rPr>
                <w:rFonts w:ascii="Arial" w:eastAsia="Arial" w:hAnsi="Arial" w:cs="Arial"/>
                <w:b/>
                <w:color w:val="000000"/>
              </w:rPr>
            </w:pPr>
          </w:p>
        </w:tc>
        <w:tc>
          <w:tcPr>
            <w:tcW w:w="5430" w:type="dxa"/>
            <w:gridSpan w:val="3"/>
          </w:tcPr>
          <w:p w:rsidR="002E58C4" w:rsidRDefault="00C81E39">
            <w:pPr>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p w:rsidR="002E58C4" w:rsidRDefault="00C81E39">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when the Equipment Lease Period is terminated before the expiry date.</w:t>
            </w:r>
          </w:p>
          <w:p w:rsidR="002E58C4" w:rsidRDefault="00C81E39">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 xml:space="preserve">the fee payable by the Buyer to the Supplier in the event of Early Termination. </w:t>
            </w:r>
          </w:p>
        </w:tc>
      </w:tr>
      <w:tr w:rsidR="002E58C4">
        <w:trPr>
          <w:jc w:val="center"/>
        </w:trPr>
        <w:tc>
          <w:tcPr>
            <w:tcW w:w="2370" w:type="dxa"/>
          </w:tcPr>
          <w:p w:rsidR="002E58C4" w:rsidRDefault="00C81E39">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430" w:type="dxa"/>
            <w:gridSpan w:val="3"/>
          </w:tcPr>
          <w:p w:rsidR="002E58C4" w:rsidRDefault="00C81E39">
            <w:pPr>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those vehicles set out in Framework Schedule 1 - Specification and ordered by the Buyer as may be supplemented in the Call-Off Contract or in an Equipment Order;</w:t>
            </w:r>
          </w:p>
        </w:tc>
      </w:tr>
      <w:tr w:rsidR="002E58C4">
        <w:trPr>
          <w:jc w:val="center"/>
        </w:trPr>
        <w:tc>
          <w:tcPr>
            <w:tcW w:w="2370" w:type="dxa"/>
          </w:tcPr>
          <w:p w:rsidR="002E58C4" w:rsidRDefault="00C81E39">
            <w:pPr>
              <w:pBdr>
                <w:top w:val="nil"/>
                <w:left w:val="nil"/>
                <w:bottom w:val="nil"/>
                <w:right w:val="nil"/>
                <w:between w:val="nil"/>
              </w:pBdr>
              <w:spacing w:after="240"/>
              <w:ind w:left="-110" w:hanging="30"/>
              <w:rPr>
                <w:rFonts w:ascii="Arial" w:eastAsia="Arial" w:hAnsi="Arial" w:cs="Arial"/>
                <w:b/>
                <w:color w:val="000000"/>
              </w:rPr>
            </w:pPr>
            <w:r>
              <w:rPr>
                <w:rFonts w:ascii="Arial" w:eastAsia="Arial" w:hAnsi="Arial" w:cs="Arial"/>
                <w:b/>
                <w:color w:val="000000"/>
              </w:rPr>
              <w:t>"Equipment Lease Period"</w:t>
            </w:r>
          </w:p>
        </w:tc>
        <w:tc>
          <w:tcPr>
            <w:tcW w:w="5430" w:type="dxa"/>
            <w:gridSpan w:val="3"/>
          </w:tcPr>
          <w:p w:rsidR="002E58C4" w:rsidRDefault="00C81E39">
            <w:pPr>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2E58C4">
        <w:trPr>
          <w:jc w:val="center"/>
        </w:trPr>
        <w:tc>
          <w:tcPr>
            <w:tcW w:w="2370" w:type="dxa"/>
          </w:tcPr>
          <w:p w:rsidR="002E58C4" w:rsidRPr="00DA6851" w:rsidRDefault="00C81E39">
            <w:pPr>
              <w:pBdr>
                <w:top w:val="nil"/>
                <w:left w:val="nil"/>
                <w:bottom w:val="nil"/>
                <w:right w:val="nil"/>
                <w:between w:val="nil"/>
              </w:pBdr>
              <w:spacing w:after="240"/>
              <w:ind w:left="-110" w:hanging="30"/>
              <w:rPr>
                <w:rFonts w:ascii="Arial" w:eastAsia="Arial" w:hAnsi="Arial" w:cs="Arial"/>
                <w:b/>
              </w:rPr>
            </w:pPr>
            <w:r w:rsidRPr="00DA6851">
              <w:rPr>
                <w:rFonts w:ascii="Arial" w:eastAsia="Arial" w:hAnsi="Arial" w:cs="Arial"/>
                <w:b/>
              </w:rPr>
              <w:lastRenderedPageBreak/>
              <w:t>"Equipment Order"</w:t>
            </w:r>
          </w:p>
        </w:tc>
        <w:tc>
          <w:tcPr>
            <w:tcW w:w="5430" w:type="dxa"/>
            <w:gridSpan w:val="3"/>
          </w:tcPr>
          <w:p w:rsidR="002E58C4" w:rsidRPr="00DA6851" w:rsidRDefault="00C81E39">
            <w:pPr>
              <w:pBdr>
                <w:top w:val="nil"/>
                <w:left w:val="nil"/>
                <w:bottom w:val="nil"/>
                <w:right w:val="nil"/>
                <w:between w:val="nil"/>
              </w:pBdr>
              <w:spacing w:after="240"/>
              <w:ind w:firstLine="20"/>
              <w:jc w:val="both"/>
              <w:rPr>
                <w:rFonts w:ascii="Arial" w:eastAsia="Arial" w:hAnsi="Arial" w:cs="Arial"/>
              </w:rPr>
            </w:pPr>
            <w:bookmarkStart w:id="3" w:name="_heading=h.1fob9te" w:colFirst="0" w:colLast="0"/>
            <w:bookmarkEnd w:id="3"/>
            <w:r w:rsidRPr="00DA6851">
              <w:rPr>
                <w:rFonts w:ascii="Arial" w:eastAsia="Arial" w:hAnsi="Arial" w:cs="Arial"/>
              </w:rPr>
              <w:t xml:space="preserve">the method by which the Buyer places their Order with the Supplier; </w:t>
            </w:r>
          </w:p>
        </w:tc>
      </w:tr>
      <w:tr w:rsidR="002E58C4">
        <w:trPr>
          <w:jc w:val="center"/>
        </w:trPr>
        <w:tc>
          <w:tcPr>
            <w:tcW w:w="2370" w:type="dxa"/>
          </w:tcPr>
          <w:p w:rsidR="002E58C4" w:rsidRDefault="00C81E39">
            <w:pPr>
              <w:pBdr>
                <w:top w:val="nil"/>
                <w:left w:val="nil"/>
                <w:bottom w:val="nil"/>
                <w:right w:val="nil"/>
                <w:between w:val="nil"/>
              </w:pBdr>
              <w:spacing w:after="240"/>
              <w:rPr>
                <w:rFonts w:ascii="Arial" w:eastAsia="Arial" w:hAnsi="Arial" w:cs="Arial"/>
                <w:b/>
                <w:color w:val="000000"/>
              </w:rPr>
            </w:pPr>
            <w:r>
              <w:rPr>
                <w:rFonts w:ascii="Arial" w:eastAsia="Arial" w:hAnsi="Arial" w:cs="Arial"/>
                <w:b/>
                <w:color w:val="000000"/>
              </w:rPr>
              <w:t>“Equipment Specific Maintenance”</w:t>
            </w:r>
          </w:p>
        </w:tc>
        <w:tc>
          <w:tcPr>
            <w:tcW w:w="5430" w:type="dxa"/>
            <w:gridSpan w:val="3"/>
          </w:tcPr>
          <w:p w:rsidR="002E58C4" w:rsidRDefault="00C81E39">
            <w:pPr>
              <w:numPr>
                <w:ilvl w:val="0"/>
                <w:numId w:val="3"/>
              </w:numPr>
              <w:pBdr>
                <w:top w:val="nil"/>
                <w:left w:val="nil"/>
                <w:bottom w:val="nil"/>
                <w:right w:val="nil"/>
                <w:between w:val="nil"/>
              </w:pBdr>
              <w:spacing w:after="120"/>
              <w:ind w:left="782" w:hanging="720"/>
              <w:jc w:val="both"/>
              <w:rPr>
                <w:rFonts w:ascii="Arial" w:eastAsia="Arial" w:hAnsi="Arial" w:cs="Arial"/>
                <w:color w:val="000000"/>
              </w:rPr>
            </w:pPr>
            <w:r>
              <w:rPr>
                <w:rFonts w:ascii="Arial" w:eastAsia="Arial" w:hAnsi="Arial" w:cs="Arial"/>
                <w:color w:val="000000"/>
              </w:rPr>
              <w:t>normal routine maintenance in accordance with manufacturers' maintenance recommendations, which may be amended from time to time;</w:t>
            </w:r>
          </w:p>
          <w:p w:rsidR="002E58C4" w:rsidRDefault="00C81E39">
            <w:pPr>
              <w:numPr>
                <w:ilvl w:val="0"/>
                <w:numId w:val="3"/>
              </w:numPr>
              <w:pBdr>
                <w:top w:val="nil"/>
                <w:left w:val="nil"/>
                <w:bottom w:val="nil"/>
                <w:right w:val="nil"/>
                <w:between w:val="nil"/>
              </w:pBdr>
              <w:spacing w:after="120"/>
              <w:ind w:left="782" w:hanging="720"/>
              <w:jc w:val="both"/>
              <w:rPr>
                <w:rFonts w:ascii="Arial" w:eastAsia="Arial" w:hAnsi="Arial" w:cs="Arial"/>
                <w:color w:val="000000"/>
              </w:rPr>
            </w:pPr>
            <w:r>
              <w:rPr>
                <w:rFonts w:ascii="Arial" w:eastAsia="Arial" w:hAnsi="Arial" w:cs="Arial"/>
                <w:color w:val="000000"/>
              </w:rPr>
              <w:t>repairs (including punctures) outside of normal routine maintenance but excluding costs occasioned by wilful damage, neglect, replacement of windscreens or other glass, accident damage or top ups of oil, water, antifreeze, brake and clutch fluids between routine maintenance visits; and</w:t>
            </w:r>
          </w:p>
          <w:p w:rsidR="002E58C4" w:rsidRDefault="00C81E39">
            <w:pPr>
              <w:numPr>
                <w:ilvl w:val="0"/>
                <w:numId w:val="3"/>
              </w:numPr>
              <w:pBdr>
                <w:top w:val="nil"/>
                <w:left w:val="nil"/>
                <w:bottom w:val="nil"/>
                <w:right w:val="nil"/>
                <w:between w:val="nil"/>
              </w:pBdr>
              <w:spacing w:after="120"/>
              <w:ind w:left="782" w:hanging="720"/>
              <w:jc w:val="both"/>
              <w:rPr>
                <w:rFonts w:ascii="Arial" w:eastAsia="Arial" w:hAnsi="Arial" w:cs="Arial"/>
                <w:color w:val="000000"/>
              </w:rPr>
            </w:pPr>
            <w:r>
              <w:rPr>
                <w:rFonts w:ascii="Arial" w:eastAsia="Arial" w:hAnsi="Arial" w:cs="Arial"/>
                <w:color w:val="000000"/>
              </w:rPr>
              <w:t>tyre, battery and exhaust replacements and any components which wear out due to fair wear and tear during the Lease Period, except where such replacement is occasioned by the lack of care or abuse of the piece of Equipment by the Buyer;</w:t>
            </w:r>
          </w:p>
          <w:p w:rsidR="002E58C4" w:rsidRDefault="002E58C4">
            <w:pPr>
              <w:pBdr>
                <w:top w:val="nil"/>
                <w:left w:val="nil"/>
                <w:bottom w:val="nil"/>
                <w:right w:val="nil"/>
                <w:between w:val="nil"/>
              </w:pBdr>
              <w:ind w:left="780"/>
              <w:jc w:val="both"/>
              <w:rPr>
                <w:rFonts w:ascii="Arial" w:eastAsia="Arial" w:hAnsi="Arial" w:cs="Arial"/>
                <w:color w:val="000000"/>
              </w:rPr>
            </w:pPr>
          </w:p>
        </w:tc>
      </w:tr>
      <w:tr w:rsidR="002E58C4">
        <w:trPr>
          <w:jc w:val="center"/>
        </w:trPr>
        <w:tc>
          <w:tcPr>
            <w:tcW w:w="2370" w:type="dxa"/>
          </w:tcPr>
          <w:p w:rsidR="002E58C4" w:rsidRDefault="00C81E39">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"Excess"</w:t>
            </w:r>
          </w:p>
        </w:tc>
        <w:tc>
          <w:tcPr>
            <w:tcW w:w="5430" w:type="dxa"/>
            <w:gridSpan w:val="3"/>
          </w:tcPr>
          <w:p w:rsidR="002E58C4" w:rsidRDefault="00C81E39">
            <w:pPr>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has the same meaning given to it in Clause 9.8.1;</w:t>
            </w:r>
          </w:p>
        </w:tc>
      </w:tr>
      <w:tr w:rsidR="002E58C4">
        <w:trPr>
          <w:jc w:val="center"/>
        </w:trPr>
        <w:tc>
          <w:tcPr>
            <w:tcW w:w="2370" w:type="dxa"/>
          </w:tcPr>
          <w:p w:rsidR="002E58C4" w:rsidRDefault="00C81E39">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"Excess Mileage Charge"</w:t>
            </w:r>
          </w:p>
        </w:tc>
        <w:tc>
          <w:tcPr>
            <w:tcW w:w="5430" w:type="dxa"/>
            <w:gridSpan w:val="3"/>
          </w:tcPr>
          <w:p w:rsidR="002E58C4" w:rsidRDefault="00C81E39">
            <w:pPr>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a sum due to the Supplier when the actual mileage on a piece of Equipment, which is a vehicle, at the end of its Lease Period, is more than the Agreement Mileage;</w:t>
            </w:r>
          </w:p>
        </w:tc>
      </w:tr>
      <w:tr w:rsidR="002E58C4">
        <w:trPr>
          <w:jc w:val="center"/>
        </w:trPr>
        <w:tc>
          <w:tcPr>
            <w:tcW w:w="2370" w:type="dxa"/>
          </w:tcPr>
          <w:p w:rsidR="002E58C4" w:rsidRDefault="00C81E39">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“Excess/under Mileage”</w:t>
            </w:r>
          </w:p>
        </w:tc>
        <w:tc>
          <w:tcPr>
            <w:tcW w:w="5430" w:type="dxa"/>
            <w:gridSpan w:val="3"/>
          </w:tcPr>
          <w:p w:rsidR="002E58C4" w:rsidRDefault="00C81E39">
            <w:pPr>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difference in mileage between the actual mileage on a piece of Equipment, which is a vehicle, at the expiry of the Lease Period, or on early termination of the lease and the Agreement Mileage;</w:t>
            </w:r>
          </w:p>
        </w:tc>
      </w:tr>
      <w:tr w:rsidR="002E58C4">
        <w:trPr>
          <w:jc w:val="center"/>
        </w:trPr>
        <w:tc>
          <w:tcPr>
            <w:tcW w:w="2370" w:type="dxa"/>
          </w:tcPr>
          <w:p w:rsidR="002E58C4" w:rsidRDefault="00C81E39">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"Fair Wear and Tear"</w:t>
            </w:r>
          </w:p>
        </w:tc>
        <w:tc>
          <w:tcPr>
            <w:tcW w:w="5430" w:type="dxa"/>
            <w:gridSpan w:val="3"/>
          </w:tcPr>
          <w:p w:rsidR="002E58C4" w:rsidRDefault="00C81E39">
            <w:pPr>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has the same meaning given to it as the British Vehicles Rental and Leasing Association (BVRLA) Fair Wear and Tear Guide, the Buyer may request copies from the Supplier from time to time;</w:t>
            </w:r>
          </w:p>
        </w:tc>
      </w:tr>
      <w:tr w:rsidR="002E58C4">
        <w:trPr>
          <w:jc w:val="center"/>
        </w:trPr>
        <w:tc>
          <w:tcPr>
            <w:tcW w:w="2370" w:type="dxa"/>
          </w:tcPr>
          <w:p w:rsidR="002E58C4" w:rsidRDefault="00C81E39">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430" w:type="dxa"/>
            <w:gridSpan w:val="3"/>
          </w:tcPr>
          <w:p w:rsidR="002E58C4" w:rsidRDefault="00C81E39">
            <w:pPr>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 xml:space="preserve">the Rentals and Additional Charges (exclusive of any applicable VAT) payable to the Supplier by the Buyer under the Call-Off Contract for the full and proper performance by the Supplier of its obligations under the Call-Off Contract which </w:t>
            </w:r>
            <w:r>
              <w:rPr>
                <w:rFonts w:ascii="Arial" w:eastAsia="Arial" w:hAnsi="Arial" w:cs="Arial"/>
                <w:color w:val="000000"/>
              </w:rPr>
              <w:lastRenderedPageBreak/>
              <w:t>price must not be greater than the prices provided for in the Framework Contract from time to time;</w:t>
            </w:r>
          </w:p>
        </w:tc>
      </w:tr>
      <w:tr w:rsidR="002E58C4">
        <w:trPr>
          <w:trHeight w:val="800"/>
          <w:jc w:val="center"/>
        </w:trPr>
        <w:tc>
          <w:tcPr>
            <w:tcW w:w="2370" w:type="dxa"/>
          </w:tcPr>
          <w:p w:rsidR="002E58C4" w:rsidRDefault="00C81E39">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"Lease Terms"</w:t>
            </w:r>
          </w:p>
        </w:tc>
        <w:tc>
          <w:tcPr>
            <w:tcW w:w="5430" w:type="dxa"/>
            <w:gridSpan w:val="3"/>
          </w:tcPr>
          <w:p w:rsidR="002E58C4" w:rsidRDefault="00C81E39">
            <w:pPr>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terms and conditions of supply and lease set out in this Call-Off Schedule 22;</w:t>
            </w:r>
          </w:p>
        </w:tc>
      </w:tr>
      <w:tr w:rsidR="002E58C4">
        <w:trPr>
          <w:trHeight w:val="800"/>
          <w:jc w:val="center"/>
        </w:trPr>
        <w:tc>
          <w:tcPr>
            <w:tcW w:w="2370" w:type="dxa"/>
          </w:tcPr>
          <w:p w:rsidR="002E58C4" w:rsidRDefault="00C81E39">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"Mileage Rebate"</w:t>
            </w:r>
          </w:p>
        </w:tc>
        <w:tc>
          <w:tcPr>
            <w:tcW w:w="5430" w:type="dxa"/>
            <w:gridSpan w:val="3"/>
          </w:tcPr>
          <w:p w:rsidR="002E58C4" w:rsidRDefault="00C81E39">
            <w:pPr>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a sum due to the Buyer when the actual mileage on a piece of Equipment, which is a vehicle at the end of its Lease Period, is less than the Agreement Mileage;</w:t>
            </w:r>
          </w:p>
        </w:tc>
      </w:tr>
      <w:tr w:rsidR="002E58C4">
        <w:trPr>
          <w:trHeight w:val="800"/>
          <w:jc w:val="center"/>
        </w:trPr>
        <w:tc>
          <w:tcPr>
            <w:tcW w:w="2370" w:type="dxa"/>
          </w:tcPr>
          <w:p w:rsidR="002E58C4" w:rsidRDefault="00C81E39">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430" w:type="dxa"/>
            <w:gridSpan w:val="3"/>
          </w:tcPr>
          <w:p w:rsidR="002E58C4" w:rsidRDefault="00C81E39">
            <w:pPr>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value of a piece of Equipment from time to time being its purchase price (excluding any applicable Road Fund Licence) less an amount equal to the depreciation of the piece of Equipment, calculated on a straight-line basis, at the time a valuation is made;</w:t>
            </w:r>
          </w:p>
        </w:tc>
      </w:tr>
      <w:tr w:rsidR="002E58C4">
        <w:trPr>
          <w:trHeight w:val="800"/>
          <w:jc w:val="center"/>
        </w:trPr>
        <w:tc>
          <w:tcPr>
            <w:tcW w:w="2370" w:type="dxa"/>
          </w:tcPr>
          <w:p w:rsidR="002E58C4" w:rsidRDefault="00C81E39">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430" w:type="dxa"/>
            <w:gridSpan w:val="3"/>
          </w:tcPr>
          <w:p w:rsidR="002E58C4" w:rsidRDefault="00C81E39">
            <w:pPr>
              <w:pBdr>
                <w:top w:val="nil"/>
                <w:left w:val="nil"/>
                <w:bottom w:val="nil"/>
                <w:right w:val="nil"/>
                <w:between w:val="nil"/>
              </w:pBdr>
              <w:ind w:firstLine="20"/>
              <w:jc w:val="both"/>
              <w:rPr>
                <w:rFonts w:ascii="Arial" w:eastAsia="Arial" w:hAnsi="Arial" w:cs="Arial"/>
                <w:color w:val="000000"/>
              </w:rPr>
            </w:pPr>
            <w:r>
              <w:rPr>
                <w:rFonts w:ascii="Arial" w:eastAsia="Arial" w:hAnsi="Arial" w:cs="Arial"/>
                <w:color w:val="000000"/>
              </w:rPr>
              <w:t>the person who has title to the Equipment, which may be the Supplier or, where the Supplier is acting as agent for a third party, the Principal.</w:t>
            </w:r>
          </w:p>
          <w:p w:rsidR="002E58C4" w:rsidRDefault="002E58C4">
            <w:pPr>
              <w:pBdr>
                <w:top w:val="nil"/>
                <w:left w:val="nil"/>
                <w:bottom w:val="nil"/>
                <w:right w:val="nil"/>
                <w:between w:val="nil"/>
              </w:pBdr>
              <w:ind w:firstLine="20"/>
              <w:jc w:val="both"/>
              <w:rPr>
                <w:rFonts w:ascii="Arial" w:eastAsia="Arial" w:hAnsi="Arial" w:cs="Arial"/>
                <w:color w:val="000000"/>
              </w:rPr>
            </w:pPr>
          </w:p>
        </w:tc>
      </w:tr>
      <w:tr w:rsidR="002E58C4">
        <w:trPr>
          <w:jc w:val="center"/>
        </w:trPr>
        <w:tc>
          <w:tcPr>
            <w:tcW w:w="2370" w:type="dxa"/>
          </w:tcPr>
          <w:p w:rsidR="002E58C4" w:rsidRDefault="00C81E39">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 xml:space="preserve">"Principal" </w:t>
            </w:r>
          </w:p>
        </w:tc>
        <w:tc>
          <w:tcPr>
            <w:tcW w:w="5430" w:type="dxa"/>
            <w:gridSpan w:val="3"/>
          </w:tcPr>
          <w:p w:rsidR="002E58C4" w:rsidRDefault="00C81E39">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a third party funder of good standing that provides funds to the Supplier for the purpose of purchasing Equipment for the Supplier to lease to the Buyer</w:t>
            </w:r>
          </w:p>
          <w:p w:rsidR="002E58C4" w:rsidRDefault="002E58C4">
            <w:pPr>
              <w:pBdr>
                <w:top w:val="nil"/>
                <w:left w:val="nil"/>
                <w:bottom w:val="nil"/>
                <w:right w:val="nil"/>
                <w:between w:val="nil"/>
              </w:pBdr>
              <w:jc w:val="both"/>
              <w:rPr>
                <w:rFonts w:ascii="Arial" w:eastAsia="Arial" w:hAnsi="Arial" w:cs="Arial"/>
                <w:color w:val="000000"/>
              </w:rPr>
            </w:pPr>
          </w:p>
        </w:tc>
      </w:tr>
      <w:tr w:rsidR="002E58C4">
        <w:trPr>
          <w:gridAfter w:val="1"/>
          <w:wAfter w:w="35" w:type="dxa"/>
          <w:jc w:val="center"/>
        </w:trPr>
        <w:tc>
          <w:tcPr>
            <w:tcW w:w="2410" w:type="dxa"/>
            <w:gridSpan w:val="2"/>
          </w:tcPr>
          <w:p w:rsidR="002E58C4" w:rsidRDefault="00C81E39">
            <w:pPr>
              <w:pBdr>
                <w:top w:val="nil"/>
                <w:left w:val="nil"/>
                <w:bottom w:val="nil"/>
                <w:right w:val="nil"/>
                <w:between w:val="nil"/>
              </w:pBdr>
              <w:spacing w:after="240"/>
              <w:ind w:left="-110"/>
              <w:rPr>
                <w:rFonts w:ascii="Arial" w:eastAsia="Arial" w:hAnsi="Arial" w:cs="Arial"/>
                <w:b/>
                <w:color w:val="000000"/>
              </w:rPr>
            </w:pPr>
            <w:r>
              <w:rPr>
                <w:rFonts w:ascii="Arial" w:eastAsia="Arial" w:hAnsi="Arial" w:cs="Arial"/>
                <w:b/>
                <w:color w:val="000000"/>
              </w:rPr>
              <w:t>"Rental"</w:t>
            </w:r>
          </w:p>
        </w:tc>
        <w:tc>
          <w:tcPr>
            <w:tcW w:w="5355" w:type="dxa"/>
          </w:tcPr>
          <w:p w:rsidR="002E58C4" w:rsidRDefault="00C81E39">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amount specified in the Equipment Order;</w:t>
            </w:r>
          </w:p>
        </w:tc>
      </w:tr>
      <w:tr w:rsidR="002E58C4">
        <w:trPr>
          <w:jc w:val="center"/>
        </w:trPr>
        <w:tc>
          <w:tcPr>
            <w:tcW w:w="2370" w:type="dxa"/>
          </w:tcPr>
          <w:p w:rsidR="002E58C4" w:rsidRDefault="00C81E39">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430" w:type="dxa"/>
            <w:gridSpan w:val="3"/>
          </w:tcPr>
          <w:p w:rsidR="002E58C4" w:rsidRDefault="00C81E39">
            <w:pPr>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6.4;</w:t>
            </w:r>
          </w:p>
        </w:tc>
      </w:tr>
      <w:tr w:rsidR="002E58C4">
        <w:trPr>
          <w:jc w:val="center"/>
        </w:trPr>
        <w:tc>
          <w:tcPr>
            <w:tcW w:w="2370" w:type="dxa"/>
          </w:tcPr>
          <w:p w:rsidR="002E58C4" w:rsidRDefault="00C81E39">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"Settlement Sum"</w:t>
            </w:r>
          </w:p>
        </w:tc>
        <w:tc>
          <w:tcPr>
            <w:tcW w:w="5430" w:type="dxa"/>
            <w:gridSpan w:val="3"/>
          </w:tcPr>
          <w:p w:rsidR="002E58C4" w:rsidRDefault="00C81E39">
            <w:pPr>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for any piece of Equipment, the aggregate of:</w:t>
            </w:r>
          </w:p>
          <w:p w:rsidR="002E58C4" w:rsidRDefault="00C81E39">
            <w:pPr>
              <w:numPr>
                <w:ilvl w:val="0"/>
                <w:numId w:val="7"/>
              </w:num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Termination Sum; and</w:t>
            </w:r>
          </w:p>
          <w:p w:rsidR="002E58C4" w:rsidRDefault="00C81E39">
            <w:pPr>
              <w:numPr>
                <w:ilvl w:val="0"/>
                <w:numId w:val="7"/>
              </w:num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Total Loss Value; and</w:t>
            </w:r>
          </w:p>
          <w:p w:rsidR="002E58C4" w:rsidRDefault="00C81E39">
            <w:pPr>
              <w:numPr>
                <w:ilvl w:val="0"/>
                <w:numId w:val="7"/>
              </w:num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 xml:space="preserve">any difference between the Total Loss Value and the present worth of the asset, represented by the Net Book Value as calculated by the Supplier </w:t>
            </w:r>
          </w:p>
          <w:p w:rsidR="002E58C4" w:rsidRDefault="00C81E39">
            <w:pPr>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less</w:t>
            </w:r>
          </w:p>
          <w:p w:rsidR="002E58C4" w:rsidRDefault="00C81E39">
            <w:pPr>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any monies actually received and retained by the Supplier as payment from the Buyer's insurers for the Total Loss;</w:t>
            </w:r>
          </w:p>
        </w:tc>
      </w:tr>
      <w:tr w:rsidR="002E58C4">
        <w:trPr>
          <w:jc w:val="center"/>
        </w:trPr>
        <w:tc>
          <w:tcPr>
            <w:tcW w:w="2370" w:type="dxa"/>
          </w:tcPr>
          <w:p w:rsidR="002E58C4" w:rsidRDefault="00C81E39">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"Termination Sum"</w:t>
            </w:r>
          </w:p>
        </w:tc>
        <w:tc>
          <w:tcPr>
            <w:tcW w:w="5430" w:type="dxa"/>
            <w:gridSpan w:val="3"/>
          </w:tcPr>
          <w:p w:rsidR="002E58C4" w:rsidRDefault="00C81E39">
            <w:pPr>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for any piece of Equipment, the aggregate of:</w:t>
            </w:r>
          </w:p>
          <w:p w:rsidR="002E58C4" w:rsidRDefault="00C81E39">
            <w:pPr>
              <w:numPr>
                <w:ilvl w:val="0"/>
                <w:numId w:val="5"/>
              </w:numPr>
              <w:pBdr>
                <w:top w:val="nil"/>
                <w:left w:val="nil"/>
                <w:bottom w:val="nil"/>
                <w:right w:val="nil"/>
                <w:between w:val="nil"/>
              </w:pBdr>
              <w:spacing w:after="240"/>
              <w:ind w:hanging="718"/>
              <w:jc w:val="both"/>
              <w:rPr>
                <w:rFonts w:ascii="Arial" w:eastAsia="Arial" w:hAnsi="Arial" w:cs="Arial"/>
                <w:color w:val="000000"/>
              </w:rPr>
            </w:pPr>
            <w:r>
              <w:rPr>
                <w:rFonts w:ascii="Arial" w:eastAsia="Arial" w:hAnsi="Arial" w:cs="Arial"/>
                <w:color w:val="000000"/>
              </w:rPr>
              <w:t>any Rentals due but unpaid up to the date of termination;</w:t>
            </w:r>
          </w:p>
          <w:p w:rsidR="002E58C4" w:rsidRDefault="00C81E39">
            <w:pPr>
              <w:numPr>
                <w:ilvl w:val="0"/>
                <w:numId w:val="5"/>
              </w:numPr>
              <w:pBdr>
                <w:top w:val="nil"/>
                <w:left w:val="nil"/>
                <w:bottom w:val="nil"/>
                <w:right w:val="nil"/>
                <w:between w:val="nil"/>
              </w:pBdr>
              <w:spacing w:after="240"/>
              <w:ind w:hanging="718"/>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w:t>
            </w:r>
          </w:p>
          <w:p w:rsidR="002E58C4" w:rsidRDefault="00C81E39">
            <w:pPr>
              <w:numPr>
                <w:ilvl w:val="0"/>
                <w:numId w:val="5"/>
              </w:numPr>
              <w:pBdr>
                <w:top w:val="nil"/>
                <w:left w:val="nil"/>
                <w:bottom w:val="nil"/>
                <w:right w:val="nil"/>
                <w:between w:val="nil"/>
              </w:pBdr>
              <w:spacing w:after="240"/>
              <w:ind w:hanging="718"/>
              <w:jc w:val="both"/>
              <w:rPr>
                <w:rFonts w:ascii="Arial" w:eastAsia="Arial" w:hAnsi="Arial" w:cs="Arial"/>
                <w:color w:val="000000"/>
              </w:rPr>
            </w:pPr>
            <w:r>
              <w:rPr>
                <w:rFonts w:ascii="Arial" w:eastAsia="Arial" w:hAnsi="Arial" w:cs="Arial"/>
                <w:color w:val="000000"/>
              </w:rPr>
              <w:t>any prorated Excess Mileage Charge or Mileage Rebate (which shall be a negative amount if there is a Mileage Rebate); and</w:t>
            </w:r>
          </w:p>
          <w:p w:rsidR="002E58C4" w:rsidRDefault="00C81E39">
            <w:pPr>
              <w:numPr>
                <w:ilvl w:val="0"/>
                <w:numId w:val="5"/>
              </w:numPr>
              <w:pBdr>
                <w:top w:val="nil"/>
                <w:left w:val="nil"/>
                <w:bottom w:val="nil"/>
                <w:right w:val="nil"/>
                <w:between w:val="nil"/>
              </w:pBdr>
              <w:spacing w:after="240"/>
              <w:ind w:hanging="718"/>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w:t>
            </w:r>
          </w:p>
        </w:tc>
      </w:tr>
      <w:tr w:rsidR="002E58C4">
        <w:trPr>
          <w:jc w:val="center"/>
        </w:trPr>
        <w:tc>
          <w:tcPr>
            <w:tcW w:w="2370" w:type="dxa"/>
          </w:tcPr>
          <w:p w:rsidR="002E58C4" w:rsidRDefault="00C81E39">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430" w:type="dxa"/>
            <w:gridSpan w:val="3"/>
          </w:tcPr>
          <w:p w:rsidR="002E58C4" w:rsidRDefault="00C81E39">
            <w:pPr>
              <w:pBdr>
                <w:top w:val="nil"/>
                <w:left w:val="nil"/>
                <w:bottom w:val="nil"/>
                <w:right w:val="nil"/>
                <w:between w:val="nil"/>
              </w:pBdr>
              <w:spacing w:after="240"/>
              <w:ind w:firstLine="20"/>
              <w:jc w:val="both"/>
              <w:rPr>
                <w:rFonts w:ascii="Arial" w:eastAsia="Arial" w:hAnsi="Arial" w:cs="Arial"/>
                <w:b/>
                <w:i/>
                <w:color w:val="000000"/>
              </w:rPr>
            </w:pPr>
            <w:r>
              <w:rPr>
                <w:rFonts w:ascii="Arial" w:eastAsia="Arial" w:hAnsi="Arial" w:cs="Arial"/>
                <w:color w:val="000000"/>
              </w:rPr>
              <w:t>any event which, in the opinion of the insurers of the piece of Equipment, renders the piece of Equipment incapable of economic repair if it is lost, stolen or destroyed; and</w:t>
            </w:r>
          </w:p>
        </w:tc>
      </w:tr>
      <w:tr w:rsidR="002E58C4">
        <w:trPr>
          <w:jc w:val="center"/>
        </w:trPr>
        <w:tc>
          <w:tcPr>
            <w:tcW w:w="2370" w:type="dxa"/>
          </w:tcPr>
          <w:p w:rsidR="002E58C4" w:rsidRDefault="00C81E39">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 Value"</w:t>
            </w:r>
          </w:p>
        </w:tc>
        <w:tc>
          <w:tcPr>
            <w:tcW w:w="5430" w:type="dxa"/>
            <w:gridSpan w:val="3"/>
          </w:tcPr>
          <w:p w:rsidR="002E58C4" w:rsidRDefault="00C81E39">
            <w:pPr>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published trade "clean" market value for the month in which the Supplier is notified of the Total Loss.</w:t>
            </w:r>
          </w:p>
        </w:tc>
      </w:tr>
    </w:tbl>
    <w:p w:rsidR="002E58C4" w:rsidRDefault="002E58C4">
      <w:pPr>
        <w:widowControl w:val="0"/>
        <w:pBdr>
          <w:top w:val="nil"/>
          <w:left w:val="nil"/>
          <w:bottom w:val="nil"/>
          <w:right w:val="nil"/>
          <w:between w:val="nil"/>
        </w:pBdr>
        <w:rPr>
          <w:rFonts w:ascii="Arial" w:eastAsia="Arial" w:hAnsi="Arial" w:cs="Arial"/>
          <w:strike/>
          <w:color w:val="000000"/>
        </w:rPr>
      </w:pPr>
    </w:p>
    <w:p w:rsidR="002E58C4" w:rsidRDefault="00C81E39">
      <w:pPr>
        <w:pStyle w:val="Heading1"/>
        <w:numPr>
          <w:ilvl w:val="0"/>
          <w:numId w:val="6"/>
        </w:numPr>
        <w:ind w:hanging="436"/>
        <w:rPr>
          <w:rFonts w:ascii="Arial" w:eastAsia="Arial" w:hAnsi="Arial" w:cs="Arial"/>
          <w:sz w:val="24"/>
          <w:szCs w:val="24"/>
        </w:rPr>
      </w:pPr>
      <w:bookmarkStart w:id="4" w:name="_heading=h.3znysh7" w:colFirst="0" w:colLast="0"/>
      <w:bookmarkEnd w:id="4"/>
      <w:r>
        <w:rPr>
          <w:rFonts w:ascii="Arial" w:eastAsia="Arial" w:hAnsi="Arial" w:cs="Arial"/>
          <w:smallCaps w:val="0"/>
          <w:sz w:val="24"/>
          <w:szCs w:val="24"/>
        </w:rPr>
        <w:t>Exclusion of certain Core Terms</w:t>
      </w:r>
    </w:p>
    <w:p w:rsidR="002E58C4" w:rsidRDefault="00C81E39">
      <w:pPr>
        <w:pStyle w:val="Heading2"/>
        <w:numPr>
          <w:ilvl w:val="1"/>
          <w:numId w:val="6"/>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rsidR="002E58C4" w:rsidRDefault="00C81E39">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rsidR="002E58C4" w:rsidRDefault="00C81E39">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rsidR="002E58C4" w:rsidRDefault="00C81E39">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rsidR="002E58C4" w:rsidRDefault="00C81E39">
      <w:pPr>
        <w:pStyle w:val="Heading3"/>
        <w:ind w:left="2409" w:hanging="707"/>
        <w:rPr>
          <w:rFonts w:ascii="Arial" w:eastAsia="Arial" w:hAnsi="Arial" w:cs="Arial"/>
          <w:sz w:val="24"/>
          <w:szCs w:val="24"/>
        </w:rPr>
      </w:pPr>
      <w:r>
        <w:rPr>
          <w:rFonts w:ascii="Arial" w:eastAsia="Arial" w:hAnsi="Arial" w:cs="Arial"/>
          <w:sz w:val="24"/>
          <w:szCs w:val="24"/>
        </w:rPr>
        <w:t>3.1.4 Clause 10.1.2 does not apply to the Buyer extending the Lease Period of any Equipment;</w:t>
      </w:r>
    </w:p>
    <w:p w:rsidR="002E58C4" w:rsidRDefault="00C81E39">
      <w:pPr>
        <w:pStyle w:val="Heading3"/>
        <w:numPr>
          <w:ilvl w:val="2"/>
          <w:numId w:val="1"/>
        </w:numPr>
        <w:ind w:left="2409" w:hanging="707"/>
        <w:rPr>
          <w:rFonts w:ascii="Arial" w:eastAsia="Arial" w:hAnsi="Arial" w:cs="Arial"/>
          <w:sz w:val="24"/>
          <w:szCs w:val="24"/>
        </w:rPr>
      </w:pPr>
      <w:r>
        <w:rPr>
          <w:rFonts w:ascii="Arial" w:eastAsia="Arial" w:hAnsi="Arial" w:cs="Arial"/>
          <w:sz w:val="24"/>
          <w:szCs w:val="24"/>
        </w:rPr>
        <w:t>Clause 10.2.2 does not apply to the Buyer terminating the hire     of any Equipment; and</w:t>
      </w:r>
    </w:p>
    <w:p w:rsidR="002E58C4" w:rsidRDefault="00C81E39">
      <w:pPr>
        <w:pStyle w:val="Heading3"/>
        <w:numPr>
          <w:ilvl w:val="2"/>
          <w:numId w:val="1"/>
        </w:numPr>
        <w:ind w:left="2409" w:hanging="705"/>
        <w:rPr>
          <w:rFonts w:ascii="Arial" w:eastAsia="Arial" w:hAnsi="Arial" w:cs="Arial"/>
          <w:sz w:val="24"/>
          <w:szCs w:val="24"/>
        </w:rPr>
      </w:pPr>
      <w:r>
        <w:rPr>
          <w:rFonts w:ascii="Arial" w:eastAsia="Arial" w:hAnsi="Arial" w:cs="Arial"/>
          <w:sz w:val="24"/>
          <w:szCs w:val="24"/>
        </w:rPr>
        <w:lastRenderedPageBreak/>
        <w:t>Clause 11.3 does not apply where the Buyer must pay a Settlement Sum, a Termination Sum or any amount under paragraph 11 in this document.</w:t>
      </w:r>
    </w:p>
    <w:p w:rsidR="002E58C4" w:rsidRDefault="00C81E39">
      <w:pPr>
        <w:pStyle w:val="Heading1"/>
        <w:numPr>
          <w:ilvl w:val="0"/>
          <w:numId w:val="1"/>
        </w:numPr>
        <w:rPr>
          <w:rFonts w:ascii="Arial" w:eastAsia="Arial" w:hAnsi="Arial" w:cs="Arial"/>
          <w:sz w:val="24"/>
          <w:szCs w:val="24"/>
        </w:rPr>
      </w:pPr>
      <w:r>
        <w:rPr>
          <w:rFonts w:ascii="Arial" w:eastAsia="Arial" w:hAnsi="Arial" w:cs="Arial"/>
          <w:smallCaps w:val="0"/>
          <w:sz w:val="24"/>
          <w:szCs w:val="24"/>
        </w:rPr>
        <w:t>Equipment Orders</w:t>
      </w:r>
    </w:p>
    <w:p w:rsidR="002E58C4" w:rsidRDefault="00C81E39">
      <w:pPr>
        <w:pStyle w:val="Heading2"/>
        <w:numPr>
          <w:ilvl w:val="1"/>
          <w:numId w:val="1"/>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rsidR="002E58C4" w:rsidRDefault="00C81E39">
      <w:pPr>
        <w:pStyle w:val="Heading2"/>
        <w:numPr>
          <w:ilvl w:val="1"/>
          <w:numId w:val="1"/>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rsidR="002E58C4" w:rsidRDefault="00C81E39">
      <w:pPr>
        <w:pStyle w:val="Heading2"/>
        <w:numPr>
          <w:ilvl w:val="1"/>
          <w:numId w:val="1"/>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two working days of receipt of the Equipment Order and the confirmation will confirm the order details including:</w:t>
      </w:r>
    </w:p>
    <w:p w:rsidR="002E58C4" w:rsidRDefault="00C81E39">
      <w:pPr>
        <w:pStyle w:val="Heading3"/>
        <w:numPr>
          <w:ilvl w:val="2"/>
          <w:numId w:val="2"/>
        </w:numPr>
        <w:ind w:left="2410"/>
        <w:rPr>
          <w:rFonts w:ascii="Arial" w:eastAsia="Arial" w:hAnsi="Arial" w:cs="Arial"/>
          <w:sz w:val="24"/>
          <w:szCs w:val="24"/>
        </w:rPr>
      </w:pPr>
      <w:r>
        <w:rPr>
          <w:rFonts w:ascii="Arial" w:eastAsia="Arial" w:hAnsi="Arial" w:cs="Arial"/>
          <w:sz w:val="24"/>
          <w:szCs w:val="24"/>
        </w:rPr>
        <w:t>a description of the piece of Equipment ordered;</w:t>
      </w:r>
    </w:p>
    <w:p w:rsidR="002E58C4" w:rsidRDefault="00C81E39">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details of any optional extras ordered and any conversion work to be carried out;</w:t>
      </w:r>
    </w:p>
    <w:p w:rsidR="002E58C4" w:rsidRDefault="00C81E39">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the anticipated delivery details; and</w:t>
      </w:r>
    </w:p>
    <w:p w:rsidR="002E58C4" w:rsidRDefault="00C81E39">
      <w:pPr>
        <w:pStyle w:val="Heading3"/>
        <w:numPr>
          <w:ilvl w:val="2"/>
          <w:numId w:val="2"/>
        </w:numPr>
        <w:ind w:left="2409" w:hanging="707"/>
        <w:rPr>
          <w:rFonts w:ascii="Arial" w:eastAsia="Arial" w:hAnsi="Arial" w:cs="Arial"/>
        </w:rPr>
      </w:pPr>
      <w:r>
        <w:rPr>
          <w:rFonts w:ascii="Arial" w:eastAsia="Arial" w:hAnsi="Arial" w:cs="Arial"/>
          <w:sz w:val="24"/>
          <w:szCs w:val="24"/>
        </w:rPr>
        <w:t>the name and address of the Supplier.</w:t>
      </w:r>
    </w:p>
    <w:p w:rsidR="002E58C4" w:rsidRDefault="00C81E39">
      <w:pPr>
        <w:pStyle w:val="Heading2"/>
        <w:ind w:left="1560" w:hanging="709"/>
        <w:rPr>
          <w:rFonts w:ascii="Arial" w:eastAsia="Arial" w:hAnsi="Arial" w:cs="Arial"/>
          <w:sz w:val="24"/>
          <w:szCs w:val="24"/>
        </w:rPr>
      </w:pPr>
      <w:r>
        <w:rPr>
          <w:rFonts w:ascii="Arial" w:eastAsia="Arial" w:hAnsi="Arial" w:cs="Arial"/>
          <w:sz w:val="24"/>
          <w:szCs w:val="24"/>
        </w:rPr>
        <w:t xml:space="preserve"> 4.4 For the avoidance of doubt, each Equipment Order survives the     expiration or termination of the Framework Contract.</w:t>
      </w:r>
    </w:p>
    <w:p w:rsidR="002E58C4" w:rsidRDefault="00C81E39">
      <w:pPr>
        <w:pStyle w:val="Heading1"/>
        <w:numPr>
          <w:ilvl w:val="0"/>
          <w:numId w:val="2"/>
        </w:numPr>
        <w:rPr>
          <w:rFonts w:ascii="Arial" w:eastAsia="Arial" w:hAnsi="Arial" w:cs="Arial"/>
          <w:sz w:val="24"/>
          <w:szCs w:val="24"/>
        </w:rPr>
      </w:pPr>
      <w:r>
        <w:rPr>
          <w:rFonts w:ascii="Arial" w:eastAsia="Arial" w:hAnsi="Arial" w:cs="Arial"/>
          <w:smallCaps w:val="0"/>
          <w:sz w:val="24"/>
          <w:szCs w:val="24"/>
        </w:rPr>
        <w:t>Sale and Leaseback</w:t>
      </w:r>
    </w:p>
    <w:p w:rsidR="002E58C4" w:rsidRDefault="00C81E39">
      <w:pPr>
        <w:pStyle w:val="Heading2"/>
        <w:numPr>
          <w:ilvl w:val="1"/>
          <w:numId w:val="4"/>
        </w:numPr>
        <w:rPr>
          <w:rFonts w:ascii="Arial" w:eastAsia="Arial" w:hAnsi="Arial" w:cs="Arial"/>
          <w:sz w:val="24"/>
          <w:szCs w:val="24"/>
        </w:rPr>
      </w:pPr>
      <w:r>
        <w:rPr>
          <w:rFonts w:ascii="Arial" w:eastAsia="Arial" w:hAnsi="Arial" w:cs="Arial"/>
          <w:sz w:val="24"/>
          <w:szCs w:val="24"/>
        </w:rPr>
        <w:t>The Supplier may agree to provide a sale and lease back service in accordance with the Specification when requested by the Buyer.</w:t>
      </w:r>
    </w:p>
    <w:p w:rsidR="002E58C4" w:rsidRDefault="00C81E39">
      <w:pPr>
        <w:pStyle w:val="Heading1"/>
        <w:numPr>
          <w:ilvl w:val="0"/>
          <w:numId w:val="4"/>
        </w:numPr>
        <w:rPr>
          <w:rFonts w:ascii="Arial" w:eastAsia="Arial" w:hAnsi="Arial" w:cs="Arial"/>
          <w:sz w:val="24"/>
          <w:szCs w:val="24"/>
        </w:rPr>
      </w:pPr>
      <w:bookmarkStart w:id="5" w:name="_heading=h.2et92p0" w:colFirst="0" w:colLast="0"/>
      <w:bookmarkEnd w:id="5"/>
      <w:r>
        <w:rPr>
          <w:rFonts w:ascii="Arial" w:eastAsia="Arial" w:hAnsi="Arial" w:cs="Arial"/>
          <w:smallCaps w:val="0"/>
          <w:sz w:val="24"/>
          <w:szCs w:val="24"/>
        </w:rPr>
        <w:t xml:space="preserve">Hiring Equipment </w:t>
      </w:r>
    </w:p>
    <w:p w:rsidR="002E58C4" w:rsidRDefault="00C81E39">
      <w:pPr>
        <w:pStyle w:val="Heading2"/>
        <w:keepNext/>
        <w:ind w:left="0" w:firstLine="720"/>
        <w:rPr>
          <w:rFonts w:ascii="Arial" w:eastAsia="Arial" w:hAnsi="Arial" w:cs="Arial"/>
          <w:b/>
          <w:sz w:val="24"/>
          <w:szCs w:val="24"/>
        </w:rPr>
      </w:pPr>
      <w:bookmarkStart w:id="6" w:name="_heading=h.tyjcwt" w:colFirst="0" w:colLast="0"/>
      <w:bookmarkEnd w:id="6"/>
      <w:r>
        <w:rPr>
          <w:rFonts w:ascii="Arial" w:eastAsia="Arial" w:hAnsi="Arial" w:cs="Arial"/>
          <w:b/>
          <w:sz w:val="24"/>
          <w:szCs w:val="24"/>
        </w:rPr>
        <w:t>Lease</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lastRenderedPageBreak/>
        <w:t>When requested by the Buyer, the Supplier may advise the Buyer on the selection and specification of the Equipment and, where applicable, any conversion work to be carried out in respect of them so as to ensure that the Equipment will be of sufficient quality and suitable for the requirements of the Buyer.</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rsidR="002E58C4" w:rsidRDefault="00C81E39">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for standard specification vehicles,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Where the Equipment is a vehicle, cancellation terms for converted vehicles or vehicles above 3.5 tonnes should be agreed by the Buyer and Supplier prior to award of the Call-Off Contract;</w:t>
      </w:r>
    </w:p>
    <w:p w:rsidR="002E58C4" w:rsidRDefault="00C81E39">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in all other circumstances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2E58C4" w:rsidRDefault="00C81E39">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where the amendment or cancellation of an Equipment Order is directly or indirectly due to the Supplier’s failure to comply with its obligations under the Call-Off Contract, the Buyer has no liability to the Supplier in respect of the amendment or cancellation.</w:t>
      </w:r>
    </w:p>
    <w:p w:rsidR="002E58C4" w:rsidRDefault="00C81E39">
      <w:pPr>
        <w:pStyle w:val="Heading2"/>
        <w:numPr>
          <w:ilvl w:val="1"/>
          <w:numId w:val="4"/>
        </w:numPr>
        <w:ind w:left="1440"/>
        <w:rPr>
          <w:rFonts w:ascii="Arial" w:eastAsia="Arial" w:hAnsi="Arial" w:cs="Arial"/>
          <w:sz w:val="24"/>
          <w:szCs w:val="24"/>
        </w:rPr>
      </w:pPr>
      <w:bookmarkStart w:id="7" w:name="_heading=h.3dy6vkm" w:colFirst="0" w:colLast="0"/>
      <w:bookmarkEnd w:id="7"/>
      <w:r>
        <w:rPr>
          <w:rFonts w:ascii="Arial" w:eastAsia="Arial" w:hAnsi="Arial" w:cs="Arial"/>
          <w:sz w:val="24"/>
          <w:szCs w:val="24"/>
        </w:rPr>
        <w:t>If the Buyer wants to keep any piece of Equipment after the expiry of the current Lease Period then the Buyer must give written notice to the Supplier 1 Month prior to the end of the Lease Period and the Supplier must confirm its agreement (which the Supplier cannot unreasonably refuse).  The Rentals payable in relation to any extensions of a Lease Period are (unless otherwise agreed between the Parties) calculated:</w:t>
      </w:r>
    </w:p>
    <w:p w:rsidR="002E58C4" w:rsidRDefault="00C81E39">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where the extension is for twenty-eight (28) days or less, proportionately based on the original Rental for the piece of Equipment and the Parties shall agree (such agreement not to be unreasonably withheld or delayed) the revised Agreement Mileage for that vehicle as soon as reasonably practicable; or</w:t>
      </w:r>
    </w:p>
    <w:p w:rsidR="002E58C4" w:rsidRDefault="00C81E39">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lastRenderedPageBreak/>
        <w:t xml:space="preserve">where the extension is for more than twenty-eight (28) days, using the same method that was used to calculate the original Rentals.  </w:t>
      </w:r>
    </w:p>
    <w:p w:rsidR="002E58C4" w:rsidRDefault="00C81E39">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must give the Buyer confirmation of the anticipated Due Delivery Date for each piece of Equipment within five (5) Working Days of receipt of the Equipment Order or within five (5) Working Days of the vehicle manufacturer’s confirmation of the Equipment Order, whichever is sooner.</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will deliver the Equipment to the Buyer in a roadworthy, good working and clean condition on the Due Delivery Date.  </w:t>
      </w:r>
    </w:p>
    <w:p w:rsidR="002E58C4" w:rsidRDefault="00C81E39">
      <w:pPr>
        <w:pStyle w:val="Heading2"/>
        <w:numPr>
          <w:ilvl w:val="1"/>
          <w:numId w:val="4"/>
        </w:numPr>
        <w:ind w:left="1440"/>
        <w:rPr>
          <w:rFonts w:ascii="Arial" w:eastAsia="Arial" w:hAnsi="Arial" w:cs="Arial"/>
          <w:i/>
          <w:sz w:val="24"/>
          <w:szCs w:val="24"/>
        </w:rPr>
      </w:pPr>
      <w:r>
        <w:rPr>
          <w:rFonts w:ascii="Arial" w:eastAsia="Arial" w:hAnsi="Arial" w:cs="Arial"/>
          <w:sz w:val="24"/>
          <w:szCs w:val="24"/>
        </w:rPr>
        <w:t>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 and/or sufficient fuel or battery charge for electric vehicles to travel 40 miles.</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Any defects to a piece of Equipment notified to the Supplier by the Buyer must be rectified within fourteen (14) days at no cost to the Buyer.</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If, for any reason, the Buyer is unable to take delivery of a piece of Equipment on or after the Due Delivery Date the Supplier must arrange for the safe</w:t>
      </w:r>
      <w:r>
        <w:rPr>
          <w:rFonts w:ascii="Arial" w:eastAsia="Arial" w:hAnsi="Arial" w:cs="Arial"/>
          <w:color w:val="FF0000"/>
          <w:sz w:val="24"/>
          <w:szCs w:val="24"/>
        </w:rPr>
        <w:t xml:space="preserve"> </w:t>
      </w:r>
      <w:r>
        <w:rPr>
          <w:rFonts w:ascii="Arial" w:eastAsia="Arial" w:hAnsi="Arial" w:cs="Arial"/>
          <w:sz w:val="24"/>
          <w:szCs w:val="24"/>
        </w:rPr>
        <w:t>storage of the Equipment until actual delivery.</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lastRenderedPageBreak/>
        <w:t>If the Supplier does not deliver a piece of Equipment by the agreed time or specified date then the Buyer can withhold payment of the Lease Payments for that piece of Equipment until the time when the Supplier actually delivers it.</w:t>
      </w:r>
    </w:p>
    <w:p w:rsidR="002E58C4" w:rsidRDefault="00C81E39">
      <w:pPr>
        <w:pStyle w:val="Heading2"/>
        <w:numPr>
          <w:ilvl w:val="1"/>
          <w:numId w:val="4"/>
        </w:numPr>
        <w:ind w:left="1440"/>
        <w:rPr>
          <w:rFonts w:ascii="Arial" w:eastAsia="Arial" w:hAnsi="Arial" w:cs="Arial"/>
          <w:sz w:val="24"/>
          <w:szCs w:val="24"/>
        </w:rPr>
      </w:pPr>
      <w:bookmarkStart w:id="8" w:name="_heading=h.1t3h5sf" w:colFirst="0" w:colLast="0"/>
      <w:bookmarkEnd w:id="8"/>
      <w:r>
        <w:rPr>
          <w:rFonts w:ascii="Arial" w:eastAsia="Arial" w:hAnsi="Arial" w:cs="Arial"/>
          <w:sz w:val="24"/>
          <w:szCs w:val="24"/>
        </w:rPr>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rsidR="002E58C4" w:rsidRDefault="00C81E39">
      <w:pPr>
        <w:pStyle w:val="Heading1"/>
        <w:numPr>
          <w:ilvl w:val="0"/>
          <w:numId w:val="4"/>
        </w:numPr>
        <w:rPr>
          <w:rFonts w:ascii="Arial" w:eastAsia="Arial" w:hAnsi="Arial" w:cs="Arial"/>
          <w:sz w:val="24"/>
          <w:szCs w:val="24"/>
        </w:rPr>
      </w:pPr>
      <w:bookmarkStart w:id="9" w:name="_heading=h.4d34og8" w:colFirst="0" w:colLast="0"/>
      <w:bookmarkEnd w:id="9"/>
      <w:r>
        <w:rPr>
          <w:rFonts w:ascii="Arial" w:eastAsia="Arial" w:hAnsi="Arial" w:cs="Arial"/>
          <w:smallCaps w:val="0"/>
          <w:sz w:val="24"/>
          <w:szCs w:val="24"/>
        </w:rPr>
        <w:t>Title, Possession And Risk</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The Equipment is the property of the Supplier at all time and the Buyer will not have any right, title or interest in or to the Equipment apart from the right to possess and use the Equipment in accordance with the Call-Off Contract.</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seventy-two (72) hours of delivery.  </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Should the piece of Equipment not be in accordance with the agreed specification or otherwise not in conformity with the requirements of the Equipment Order, and the Buyer notifies the Supplier of non-acceptance, the Parties will agree a course of action to take. </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vehicle in the same SMMT classification group available for use by the Buyer until the time that the Supplier actually delivers an acceptable vehicle to the Buyer.  If non-acceptance is due to the default of the Buyer, the Buyer can cancel the part of the Equipment </w:t>
      </w:r>
      <w:r>
        <w:rPr>
          <w:rFonts w:ascii="Arial" w:eastAsia="Arial" w:hAnsi="Arial" w:cs="Arial"/>
          <w:sz w:val="24"/>
          <w:szCs w:val="24"/>
        </w:rPr>
        <w:lastRenderedPageBreak/>
        <w:t xml:space="preserve">Order relating to that piece of Equipment but must pay reasonable cancellation charges to the Supplier.  </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rsidR="002E58C4" w:rsidRDefault="00C81E39">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caused by the negligence of the Supplier, its subcontractors or its agents; or</w:t>
      </w:r>
    </w:p>
    <w:p w:rsidR="002E58C4" w:rsidRDefault="00C81E39">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while the Supplier or a subcontractor or agents has possession of the Equipment, including for any maintenance or storage.</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w:t>
      </w:r>
    </w:p>
    <w:p w:rsidR="002E58C4" w:rsidRDefault="002E58C4">
      <w:pPr>
        <w:pStyle w:val="Heading2"/>
        <w:ind w:left="900" w:firstLine="0"/>
        <w:rPr>
          <w:rFonts w:ascii="Arial" w:eastAsia="Arial" w:hAnsi="Arial" w:cs="Arial"/>
          <w:sz w:val="24"/>
          <w:szCs w:val="24"/>
        </w:rPr>
      </w:pPr>
    </w:p>
    <w:p w:rsidR="002E58C4" w:rsidRDefault="00C81E39">
      <w:pPr>
        <w:pStyle w:val="Heading1"/>
        <w:numPr>
          <w:ilvl w:val="0"/>
          <w:numId w:val="4"/>
        </w:numPr>
        <w:rPr>
          <w:rFonts w:ascii="Arial" w:eastAsia="Arial" w:hAnsi="Arial" w:cs="Arial"/>
          <w:sz w:val="24"/>
          <w:szCs w:val="24"/>
        </w:rPr>
      </w:pPr>
      <w:bookmarkStart w:id="10" w:name="_heading=h.2s8eyo1" w:colFirst="0" w:colLast="0"/>
      <w:bookmarkEnd w:id="10"/>
      <w:r>
        <w:rPr>
          <w:rFonts w:ascii="Arial" w:eastAsia="Arial" w:hAnsi="Arial" w:cs="Arial"/>
          <w:smallCaps w:val="0"/>
          <w:sz w:val="24"/>
          <w:szCs w:val="24"/>
        </w:rPr>
        <w:t>Supplier's Obligations</w:t>
      </w:r>
    </w:p>
    <w:p w:rsidR="002E58C4" w:rsidRDefault="00C81E39">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rsidR="002E58C4" w:rsidRDefault="00C81E39">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rsidR="002E58C4" w:rsidRDefault="00C81E39">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normal routine maintenance in accordance with manufacturers' maintenance recommendations as amended from time to time; and</w:t>
      </w:r>
    </w:p>
    <w:p w:rsidR="002E58C4" w:rsidRDefault="00C81E39">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any Equipment Specific Maintenance, provided that the costs have been duly authorised by the Supplier and a service outlet approved by the Supplier carries out the maintenance.</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If the Supplier replaces any tyre, battery, exhaust or any component which wears out due to fair wear and tear, the replacement must be new and of the same or equivalent specification. Tyre punctures are excluded. </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Pr>
          <w:rFonts w:ascii="Arial" w:eastAsia="Arial" w:hAnsi="Arial" w:cs="Arial"/>
          <w:sz w:val="24"/>
          <w:szCs w:val="24"/>
        </w:rPr>
        <w:lastRenderedPageBreak/>
        <w:t xml:space="preserve">twenty-one (21) days of the cost being incurred, unless the Buyer agrees to pay the additional costs as part of their payment profile, consolidated billing arrangements or as otherwise agreed with the Buyer.  </w:t>
      </w:r>
    </w:p>
    <w:p w:rsidR="002E58C4" w:rsidRDefault="00C81E39">
      <w:pPr>
        <w:pStyle w:val="Heading2"/>
        <w:keepNext/>
        <w:ind w:left="720" w:firstLine="0"/>
        <w:rPr>
          <w:rFonts w:ascii="Arial" w:eastAsia="Arial" w:hAnsi="Arial" w:cs="Arial"/>
          <w:b/>
          <w:sz w:val="24"/>
          <w:szCs w:val="24"/>
        </w:rPr>
      </w:pPr>
      <w:r>
        <w:rPr>
          <w:rFonts w:ascii="Arial" w:eastAsia="Arial" w:hAnsi="Arial" w:cs="Arial"/>
          <w:b/>
          <w:sz w:val="24"/>
          <w:szCs w:val="24"/>
        </w:rPr>
        <w:t xml:space="preserve">Indemnity </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to a Default or due to the negligence of the Supplier, its servants or agents.</w:t>
      </w:r>
    </w:p>
    <w:p w:rsidR="002E58C4" w:rsidRDefault="00C81E39">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on the date agreed with Buyer from the agreed collection point upon expiry or termination of the Lease Period. Collection of the Equipment shall be within five (5) Working Days from the expiry or termination of the Lease Period, unless otherwise agreed with the Buyer.  </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ensure that they make the Equipment available for collection at the time agreed with the Supplier. The Supplier has the right to charge the Buyer an abortive collection fee if the vehicle is not available for collection at the agreed time and/or location and where this has been notified in advance to the Buyer and agreed as part of the Call-Off Contract.</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agree a note of the condition and mileage of the Equipment with the authorised representative of the Buyer at the time of collection and state the condition and mileage on an inspection form.  </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rsidR="002E58C4" w:rsidRDefault="00C81E39">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rsidR="002E58C4" w:rsidRDefault="00C81E39">
      <w:pPr>
        <w:pStyle w:val="Heading2"/>
        <w:numPr>
          <w:ilvl w:val="1"/>
          <w:numId w:val="4"/>
        </w:numPr>
        <w:ind w:left="1440"/>
        <w:rPr>
          <w:rFonts w:ascii="Arial" w:eastAsia="Arial" w:hAnsi="Arial" w:cs="Arial"/>
          <w:sz w:val="24"/>
          <w:szCs w:val="24"/>
        </w:rPr>
      </w:pPr>
      <w:bookmarkStart w:id="11" w:name="_heading=h.17dp8vu" w:colFirst="0" w:colLast="0"/>
      <w:bookmarkEnd w:id="11"/>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twenty-eight (28) days for any one event. </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two (2) Working Days of being informed that the original </w:t>
      </w:r>
      <w:r>
        <w:rPr>
          <w:rFonts w:ascii="Arial" w:eastAsia="Arial" w:hAnsi="Arial" w:cs="Arial"/>
          <w:sz w:val="24"/>
          <w:szCs w:val="24"/>
        </w:rPr>
        <w:lastRenderedPageBreak/>
        <w:t xml:space="preserve">Equipment is fit for all of the purposes for which Equipment of its type is commonly used.  </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  Relief Equipment mileage will not be added on to the Agreement Mileage.</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five (5) Working Days of withdrawal, the Rentals in respect of that piece of Equipment are suspended and do not resume until relief Equipment has been provided or the Equipment has been returned to the Buyer. The suspension of Rentals is calculated on a daily basis. </w:t>
      </w:r>
    </w:p>
    <w:p w:rsidR="002E58C4" w:rsidRDefault="00C81E39">
      <w:pPr>
        <w:pStyle w:val="Heading2"/>
        <w:keepNext/>
        <w:ind w:left="720" w:firstLine="0"/>
        <w:rPr>
          <w:rFonts w:ascii="Arial" w:eastAsia="Arial" w:hAnsi="Arial" w:cs="Arial"/>
          <w:b/>
          <w:sz w:val="24"/>
          <w:szCs w:val="24"/>
        </w:rPr>
      </w:pPr>
      <w:r>
        <w:rPr>
          <w:rFonts w:ascii="Arial" w:eastAsia="Arial" w:hAnsi="Arial" w:cs="Arial"/>
          <w:b/>
          <w:sz w:val="24"/>
          <w:szCs w:val="24"/>
        </w:rPr>
        <w:t>Excess / under Mileage</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At expiry of the Lease Period or if the lease of any Equipment is terminated early, where the Equipment is a vehicle, the Supplier must examine the odometer of the vehicle, and in the event of a replacement odometer being fitted, the reading from any previously replaced odometer(s). The Supplier must subtract any delivery mileage from the odometer reading for the purpose of calculating Excess/under Mileage. </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Where the Buyer requires mileage pooling, the Supplier must at the end of the agreed mileage pooling period, calculate the Excess/under Mileage in accordance with each Equipment Order. All Excess/under Mileage for the period will be combined in order to determine whether the Buyer must pay an Excess Mileage Charge to the Supplier or whether the Supplier must give the Buyer a Mileage Rebate. Where there is a balance due from or to the Buyer, the Supplier must issue a consolidated invoice or payment in full settlement, as appropriate, within thirty (30) days.</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Where mileage pooling is not required by the Buyer the Supplier shall calculate the Excess/under Mileage in accordance with its Call-Off Contract, to determine whether the Buyer must pay an Excess Mileage Charge to the Supplier or whether the Supplier must give the Buyer a Mileage Rebate. Where there is a balance due from or to the Buyer, the Supplier must issue a consolidated invoice or payment in full settlement, as appropriate, within thirty (30) days.  </w:t>
      </w:r>
    </w:p>
    <w:p w:rsidR="002E58C4" w:rsidRDefault="00C81E39">
      <w:pPr>
        <w:pStyle w:val="Heading2"/>
        <w:numPr>
          <w:ilvl w:val="1"/>
          <w:numId w:val="4"/>
        </w:numPr>
        <w:ind w:left="1440"/>
        <w:rPr>
          <w:rFonts w:ascii="Arial" w:eastAsia="Arial" w:hAnsi="Arial" w:cs="Arial"/>
        </w:rPr>
      </w:pPr>
      <w:r>
        <w:rPr>
          <w:rFonts w:ascii="Arial" w:eastAsia="Arial" w:hAnsi="Arial" w:cs="Arial"/>
          <w:sz w:val="24"/>
          <w:szCs w:val="24"/>
        </w:rPr>
        <w:t>If the lease is terminated early, the relevant proportion of the Lease Period for calculating Excess/under Mileage is the product of dividing the Agreement Mileage by the number of Months on the scheduled Lease Period and multiplying by the number of Months actually leased (to the nearest full Month).  The Supplier must issue an invoice within thirty (30) days of the Return Date.</w:t>
      </w:r>
    </w:p>
    <w:p w:rsidR="002E58C4" w:rsidRDefault="00C81E39">
      <w:pPr>
        <w:pStyle w:val="Heading2"/>
        <w:ind w:left="851" w:firstLine="0"/>
        <w:rPr>
          <w:rFonts w:ascii="Arial" w:eastAsia="Arial" w:hAnsi="Arial" w:cs="Arial"/>
          <w:b/>
        </w:rPr>
      </w:pPr>
      <w:r>
        <w:rPr>
          <w:rFonts w:ascii="Arial" w:eastAsia="Arial" w:hAnsi="Arial" w:cs="Arial"/>
          <w:b/>
          <w:sz w:val="24"/>
          <w:szCs w:val="24"/>
        </w:rPr>
        <w:t>Warranty</w:t>
      </w:r>
    </w:p>
    <w:p w:rsidR="002E58C4" w:rsidRDefault="00C81E39">
      <w:pPr>
        <w:pStyle w:val="Heading2"/>
        <w:numPr>
          <w:ilvl w:val="1"/>
          <w:numId w:val="4"/>
        </w:numPr>
        <w:ind w:left="1440"/>
        <w:rPr>
          <w:rFonts w:ascii="Arial" w:eastAsia="Arial" w:hAnsi="Arial" w:cs="Arial"/>
        </w:rPr>
      </w:pPr>
      <w:r>
        <w:rPr>
          <w:rFonts w:ascii="Arial" w:eastAsia="Arial" w:hAnsi="Arial" w:cs="Arial"/>
          <w:sz w:val="24"/>
          <w:szCs w:val="24"/>
        </w:rPr>
        <w:lastRenderedPageBreak/>
        <w:t xml:space="preserve">The Supplier must make available to the Buyer, so far as is possible, the benefits of any manufacturer’s warranties relating to the fitness and performance of the Equipment. </w:t>
      </w:r>
    </w:p>
    <w:p w:rsidR="002E58C4" w:rsidRDefault="00C81E39">
      <w:pPr>
        <w:pStyle w:val="Heading1"/>
        <w:numPr>
          <w:ilvl w:val="0"/>
          <w:numId w:val="4"/>
        </w:numPr>
        <w:rPr>
          <w:rFonts w:ascii="Arial" w:eastAsia="Arial" w:hAnsi="Arial" w:cs="Arial"/>
          <w:sz w:val="24"/>
          <w:szCs w:val="24"/>
        </w:rPr>
      </w:pPr>
      <w:bookmarkStart w:id="12" w:name="_heading=h.3rdcrjn" w:colFirst="0" w:colLast="0"/>
      <w:bookmarkEnd w:id="12"/>
      <w:r>
        <w:rPr>
          <w:rFonts w:ascii="Arial" w:eastAsia="Arial" w:hAnsi="Arial" w:cs="Arial"/>
          <w:smallCaps w:val="0"/>
          <w:sz w:val="24"/>
          <w:szCs w:val="24"/>
        </w:rPr>
        <w:t>Buyer's Obligations</w:t>
      </w:r>
    </w:p>
    <w:p w:rsidR="002E58C4" w:rsidRDefault="00C81E39">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rsidR="002E58C4" w:rsidRDefault="00C81E39">
      <w:pPr>
        <w:pStyle w:val="Heading2"/>
        <w:numPr>
          <w:ilvl w:val="1"/>
          <w:numId w:val="4"/>
        </w:numPr>
        <w:ind w:left="1440"/>
        <w:rPr>
          <w:rFonts w:ascii="Arial" w:eastAsia="Arial" w:hAnsi="Arial" w:cs="Arial"/>
          <w:sz w:val="24"/>
          <w:szCs w:val="24"/>
        </w:rPr>
      </w:pPr>
      <w:bookmarkStart w:id="13" w:name="_heading=h.26in1rg" w:colFirst="0" w:colLast="0"/>
      <w:bookmarkEnd w:id="13"/>
      <w:r>
        <w:rPr>
          <w:rFonts w:ascii="Arial" w:eastAsia="Arial" w:hAnsi="Arial" w:cs="Arial"/>
          <w:sz w:val="24"/>
          <w:szCs w:val="24"/>
        </w:rPr>
        <w:t xml:space="preserve">The Buyer must not alter, tamper with or modify any Equipment without the Supplier's written consent, which cannot be unreasonably withheld or delayed.  </w:t>
      </w:r>
    </w:p>
    <w:p w:rsidR="002E58C4" w:rsidRDefault="00C81E39">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rsidR="002E58C4" w:rsidRDefault="00C81E39">
      <w:pPr>
        <w:pStyle w:val="Heading2"/>
        <w:keepNext/>
        <w:numPr>
          <w:ilvl w:val="1"/>
          <w:numId w:val="4"/>
        </w:numPr>
        <w:ind w:left="1440"/>
        <w:rPr>
          <w:rFonts w:ascii="Arial" w:eastAsia="Arial" w:hAnsi="Arial" w:cs="Arial"/>
          <w:sz w:val="24"/>
          <w:szCs w:val="24"/>
        </w:rPr>
      </w:pPr>
      <w:bookmarkStart w:id="14" w:name="_heading=h.lnxbz9" w:colFirst="0" w:colLast="0"/>
      <w:bookmarkEnd w:id="14"/>
      <w:r>
        <w:rPr>
          <w:rFonts w:ascii="Arial" w:eastAsia="Arial" w:hAnsi="Arial" w:cs="Arial"/>
          <w:sz w:val="24"/>
          <w:szCs w:val="24"/>
        </w:rPr>
        <w:t>While a piece of Equipment is in its control, the Buyer must:</w:t>
      </w:r>
    </w:p>
    <w:p w:rsidR="002E58C4" w:rsidRDefault="00C81E39">
      <w:pPr>
        <w:pStyle w:val="Heading3"/>
        <w:numPr>
          <w:ilvl w:val="2"/>
          <w:numId w:val="4"/>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2E58C4" w:rsidRDefault="00C81E39">
      <w:pPr>
        <w:pStyle w:val="Heading3"/>
        <w:numPr>
          <w:ilvl w:val="2"/>
          <w:numId w:val="4"/>
        </w:numPr>
        <w:ind w:left="2409"/>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2E58C4" w:rsidRDefault="00C81E39">
      <w:pPr>
        <w:pStyle w:val="Heading3"/>
        <w:numPr>
          <w:ilvl w:val="2"/>
          <w:numId w:val="4"/>
        </w:numPr>
        <w:ind w:left="2409"/>
        <w:rPr>
          <w:rFonts w:ascii="Arial" w:eastAsia="Arial" w:hAnsi="Arial" w:cs="Arial"/>
          <w:sz w:val="24"/>
          <w:szCs w:val="24"/>
        </w:rPr>
      </w:pPr>
      <w:r>
        <w:rPr>
          <w:rFonts w:ascii="Arial" w:eastAsia="Arial" w:hAnsi="Arial" w:cs="Arial"/>
          <w:sz w:val="24"/>
          <w:szCs w:val="24"/>
        </w:rPr>
        <w:t xml:space="preserve">not overload the Equipment or use it for sub-hire or reward activities, any use for which it was not intended or any form of sporting competition; </w:t>
      </w:r>
    </w:p>
    <w:p w:rsidR="002E58C4" w:rsidRDefault="00C81E39">
      <w:pPr>
        <w:pStyle w:val="Heading3"/>
        <w:numPr>
          <w:ilvl w:val="2"/>
          <w:numId w:val="4"/>
        </w:numPr>
        <w:ind w:left="2409"/>
        <w:rPr>
          <w:rFonts w:ascii="Arial" w:eastAsia="Arial" w:hAnsi="Arial" w:cs="Arial"/>
          <w:sz w:val="24"/>
          <w:szCs w:val="24"/>
        </w:rPr>
      </w:pPr>
      <w:r>
        <w:rPr>
          <w:rFonts w:ascii="Arial" w:eastAsia="Arial" w:hAnsi="Arial" w:cs="Arial"/>
          <w:sz w:val="24"/>
          <w:szCs w:val="24"/>
        </w:rPr>
        <w:t>make sure that only persons qualified to do so operate the Equipment and that each operator holds any necessary permits, including a valid operator’s licence or a valid driving licence where appropriate; and</w:t>
      </w:r>
    </w:p>
    <w:p w:rsidR="002E58C4" w:rsidRDefault="00C81E39">
      <w:pPr>
        <w:pStyle w:val="Heading3"/>
        <w:numPr>
          <w:ilvl w:val="2"/>
          <w:numId w:val="4"/>
        </w:numPr>
        <w:ind w:left="2410"/>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2E58C4" w:rsidRDefault="00C81E39">
      <w:pPr>
        <w:pStyle w:val="Heading3"/>
        <w:numPr>
          <w:ilvl w:val="2"/>
          <w:numId w:val="4"/>
        </w:numPr>
        <w:spacing w:after="120"/>
        <w:ind w:left="2410"/>
        <w:rPr>
          <w:rFonts w:ascii="Arial" w:eastAsia="Arial" w:hAnsi="Arial" w:cs="Arial"/>
          <w:sz w:val="24"/>
          <w:szCs w:val="24"/>
        </w:rPr>
      </w:pPr>
      <w:r>
        <w:rPr>
          <w:rFonts w:ascii="Arial" w:eastAsia="Arial" w:hAnsi="Arial" w:cs="Arial"/>
          <w:sz w:val="24"/>
          <w:szCs w:val="24"/>
        </w:rPr>
        <w:t>not do or allow anything to be done which could invalidate the insurances referred to in paragraph 9.10; and</w:t>
      </w:r>
    </w:p>
    <w:p w:rsidR="002E58C4" w:rsidRDefault="00C81E39">
      <w:pPr>
        <w:pStyle w:val="Heading3"/>
        <w:numPr>
          <w:ilvl w:val="2"/>
          <w:numId w:val="4"/>
        </w:numPr>
        <w:ind w:left="2410"/>
        <w:rPr>
          <w:rFonts w:ascii="Arial" w:eastAsia="Arial" w:hAnsi="Arial" w:cs="Arial"/>
          <w:sz w:val="24"/>
          <w:szCs w:val="24"/>
        </w:rPr>
      </w:pPr>
      <w:r>
        <w:rPr>
          <w:rFonts w:ascii="Arial" w:eastAsia="Arial" w:hAnsi="Arial" w:cs="Arial"/>
          <w:sz w:val="24"/>
          <w:szCs w:val="24"/>
        </w:rPr>
        <w:t>not use the Equipment for any unlawful purpose.</w:t>
      </w:r>
    </w:p>
    <w:p w:rsidR="002E58C4" w:rsidRDefault="00C81E39">
      <w:pPr>
        <w:pStyle w:val="Heading2"/>
        <w:numPr>
          <w:ilvl w:val="1"/>
          <w:numId w:val="4"/>
        </w:numPr>
        <w:ind w:left="1440"/>
        <w:rPr>
          <w:rFonts w:ascii="Arial" w:eastAsia="Arial" w:hAnsi="Arial" w:cs="Arial"/>
          <w:sz w:val="24"/>
          <w:szCs w:val="24"/>
        </w:rPr>
      </w:pPr>
      <w:bookmarkStart w:id="15" w:name="_heading=h.35nkun2" w:colFirst="0" w:colLast="0"/>
      <w:bookmarkEnd w:id="15"/>
      <w:r>
        <w:rPr>
          <w:rFonts w:ascii="Arial" w:eastAsia="Arial" w:hAnsi="Arial" w:cs="Arial"/>
          <w:sz w:val="24"/>
          <w:szCs w:val="24"/>
        </w:rPr>
        <w:lastRenderedPageBreak/>
        <w:t xml:space="preserve">The Buyer must not sell or offer to sell the Equipment and can only part with possession or control of the Equipment to an authorised user in the employment of the Buyer. </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not allow to exist any lien nor assign mortgage pledge or otherwise deal with the Equipment in a manner inconsistent with either the Supplier's interest or the Owner’s interest in the Equipment.</w:t>
      </w:r>
      <w:r>
        <w:rPr>
          <w:rFonts w:ascii="Arial" w:eastAsia="Arial" w:hAnsi="Arial" w:cs="Arial"/>
          <w:b/>
          <w:sz w:val="24"/>
          <w:szCs w:val="24"/>
        </w:rPr>
        <w:t xml:space="preserve"> </w:t>
      </w:r>
    </w:p>
    <w:p w:rsidR="002E58C4" w:rsidRDefault="00C81E39">
      <w:pPr>
        <w:pStyle w:val="Heading2"/>
        <w:keepNext/>
        <w:ind w:left="720" w:firstLine="0"/>
        <w:rPr>
          <w:rFonts w:ascii="Arial" w:eastAsia="Arial" w:hAnsi="Arial" w:cs="Arial"/>
          <w:b/>
          <w:sz w:val="24"/>
          <w:szCs w:val="24"/>
        </w:rPr>
      </w:pPr>
      <w:r>
        <w:rPr>
          <w:rFonts w:ascii="Arial" w:eastAsia="Arial" w:hAnsi="Arial" w:cs="Arial"/>
          <w:b/>
          <w:sz w:val="24"/>
          <w:szCs w:val="24"/>
        </w:rPr>
        <w:t xml:space="preserve">Total Loss </w:t>
      </w:r>
    </w:p>
    <w:p w:rsidR="002E58C4" w:rsidRDefault="00C81E39">
      <w:pPr>
        <w:pStyle w:val="Heading2"/>
        <w:numPr>
          <w:ilvl w:val="1"/>
          <w:numId w:val="4"/>
        </w:numPr>
        <w:ind w:left="1418" w:hanging="567"/>
        <w:rPr>
          <w:rFonts w:ascii="Arial" w:eastAsia="Arial" w:hAnsi="Arial" w:cs="Arial"/>
          <w:sz w:val="24"/>
          <w:szCs w:val="24"/>
        </w:rPr>
      </w:pPr>
      <w:r>
        <w:rPr>
          <w:rFonts w:ascii="Arial" w:eastAsia="Arial" w:hAnsi="Arial" w:cs="Arial"/>
          <w:sz w:val="24"/>
          <w:szCs w:val="24"/>
        </w:rPr>
        <w:t>The Buyer must keep the Supplier fully informed of all material matters relating to the Equipment.</w:t>
      </w:r>
    </w:p>
    <w:p w:rsidR="002E58C4" w:rsidRDefault="00C81E39">
      <w:pPr>
        <w:pStyle w:val="Heading2"/>
        <w:numPr>
          <w:ilvl w:val="1"/>
          <w:numId w:val="4"/>
        </w:numPr>
        <w:ind w:left="1418" w:hanging="567"/>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access to any premises at which the Equipment may be located, and must grant reasonable access and facilities for such inspection.</w:t>
      </w:r>
    </w:p>
    <w:p w:rsidR="002E58C4" w:rsidRDefault="00C81E39">
      <w:pPr>
        <w:pStyle w:val="Heading2"/>
        <w:numPr>
          <w:ilvl w:val="1"/>
          <w:numId w:val="4"/>
        </w:numPr>
        <w:ind w:left="1418" w:hanging="567"/>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2E58C4" w:rsidRDefault="00C81E39">
      <w:pPr>
        <w:pStyle w:val="Heading2"/>
        <w:numPr>
          <w:ilvl w:val="1"/>
          <w:numId w:val="4"/>
        </w:numPr>
        <w:ind w:left="1418" w:hanging="567"/>
        <w:rPr>
          <w:rFonts w:ascii="Arial" w:eastAsia="Arial" w:hAnsi="Arial" w:cs="Arial"/>
          <w:sz w:val="24"/>
          <w:szCs w:val="24"/>
        </w:rPr>
      </w:pPr>
      <w:r>
        <w:rPr>
          <w:rFonts w:ascii="Arial" w:eastAsia="Arial" w:hAnsi="Arial" w:cs="Arial"/>
          <w:sz w:val="24"/>
          <w:szCs w:val="24"/>
        </w:rPr>
        <w:t>Where a piece of Equipment is declared a Total Loss, the Buyer must notify the Supplier immediately and will continue to be liable for the Rentals for the Equipment until the Supplier receives the Settlement Sum in full. When they receive the Settlement Sum, the Supplier must reimburse the Buyer all of the Rentals paid by the Buyer between the Total Loss notification date and the date of receipt of the Settlement Sum.</w:t>
      </w:r>
    </w:p>
    <w:p w:rsidR="002E58C4" w:rsidRDefault="00C81E39">
      <w:pPr>
        <w:pStyle w:val="Heading2"/>
        <w:numPr>
          <w:ilvl w:val="1"/>
          <w:numId w:val="4"/>
        </w:numPr>
        <w:ind w:left="1418" w:hanging="567"/>
        <w:rPr>
          <w:rFonts w:ascii="Arial" w:eastAsia="Arial" w:hAnsi="Arial" w:cs="Arial"/>
          <w:sz w:val="24"/>
          <w:szCs w:val="24"/>
        </w:rPr>
      </w:pPr>
      <w:r>
        <w:rPr>
          <w:rFonts w:ascii="Arial" w:eastAsia="Arial" w:hAnsi="Arial" w:cs="Arial"/>
          <w:sz w:val="24"/>
          <w:szCs w:val="24"/>
        </w:rPr>
        <w:t>Following notification of a Total Loss, the Buyer must pay as soon as reasonably practicable to the Supplier the Settlement Sum in respect of that Equipment on the date specified in the advice of the same sent to the Buyer.</w:t>
      </w:r>
    </w:p>
    <w:p w:rsidR="002E58C4" w:rsidRDefault="00C81E39">
      <w:pPr>
        <w:pStyle w:val="Heading2"/>
        <w:numPr>
          <w:ilvl w:val="1"/>
          <w:numId w:val="4"/>
        </w:numPr>
        <w:ind w:left="1418" w:hanging="567"/>
        <w:rPr>
          <w:rFonts w:ascii="Arial" w:eastAsia="Arial" w:hAnsi="Arial" w:cs="Arial"/>
          <w:sz w:val="24"/>
          <w:szCs w:val="24"/>
        </w:rPr>
      </w:pPr>
      <w:r>
        <w:rPr>
          <w:rFonts w:ascii="Arial" w:eastAsia="Arial" w:hAnsi="Arial" w:cs="Arial"/>
          <w:sz w:val="24"/>
          <w:szCs w:val="24"/>
        </w:rPr>
        <w:t>Where the sum received for the Equipment from the Buyer’s insurance provider is less than the Settlement Sum, the Buyer is liable to pay to the Supplier the differential amount.</w:t>
      </w:r>
    </w:p>
    <w:p w:rsidR="002E58C4" w:rsidRDefault="00C81E39">
      <w:pPr>
        <w:pStyle w:val="Heading2"/>
        <w:numPr>
          <w:ilvl w:val="1"/>
          <w:numId w:val="4"/>
        </w:numPr>
        <w:ind w:left="1418" w:hanging="567"/>
        <w:rPr>
          <w:rFonts w:ascii="Arial" w:eastAsia="Arial" w:hAnsi="Arial" w:cs="Arial"/>
          <w:sz w:val="24"/>
          <w:szCs w:val="24"/>
        </w:rPr>
      </w:pPr>
      <w:r>
        <w:rPr>
          <w:rFonts w:ascii="Arial" w:eastAsia="Arial" w:hAnsi="Arial" w:cs="Arial"/>
          <w:sz w:val="24"/>
          <w:szCs w:val="24"/>
        </w:rPr>
        <w:t xml:space="preserve">The Supplier may charge an administration fee to the Buyer to cover any reasonable costs incurred in the assessment of the vehicle and the completion of any relevant documentation in relation to the Total Loss process. </w:t>
      </w:r>
    </w:p>
    <w:p w:rsidR="002E58C4" w:rsidRDefault="002E58C4">
      <w:pPr>
        <w:pBdr>
          <w:top w:val="nil"/>
          <w:left w:val="nil"/>
          <w:bottom w:val="nil"/>
          <w:right w:val="nil"/>
          <w:between w:val="nil"/>
        </w:pBdr>
        <w:rPr>
          <w:color w:val="000000"/>
        </w:rPr>
      </w:pPr>
    </w:p>
    <w:p w:rsidR="002E58C4" w:rsidRDefault="00C81E39">
      <w:pPr>
        <w:pStyle w:val="Heading2"/>
        <w:keepNext/>
        <w:ind w:left="0" w:firstLine="720"/>
        <w:rPr>
          <w:rFonts w:ascii="Arial" w:eastAsia="Arial" w:hAnsi="Arial" w:cs="Arial"/>
          <w:b/>
          <w:sz w:val="24"/>
          <w:szCs w:val="24"/>
        </w:rPr>
      </w:pPr>
      <w:r>
        <w:rPr>
          <w:rFonts w:ascii="Arial" w:eastAsia="Arial" w:hAnsi="Arial" w:cs="Arial"/>
          <w:b/>
          <w:sz w:val="24"/>
          <w:szCs w:val="24"/>
        </w:rPr>
        <w:lastRenderedPageBreak/>
        <w:t xml:space="preserve">Insurance </w:t>
      </w:r>
    </w:p>
    <w:p w:rsidR="002E58C4" w:rsidRDefault="00C81E39">
      <w:pPr>
        <w:pStyle w:val="Heading2"/>
        <w:keepNext/>
        <w:numPr>
          <w:ilvl w:val="1"/>
          <w:numId w:val="4"/>
        </w:numPr>
        <w:ind w:left="1440"/>
        <w:rPr>
          <w:rFonts w:ascii="Arial" w:eastAsia="Arial" w:hAnsi="Arial" w:cs="Arial"/>
          <w:sz w:val="24"/>
          <w:szCs w:val="24"/>
        </w:rPr>
      </w:pPr>
      <w:bookmarkStart w:id="16" w:name="_heading=h.1ksv4uv" w:colFirst="0" w:colLast="0"/>
      <w:bookmarkEnd w:id="16"/>
      <w:r>
        <w:rPr>
          <w:rFonts w:ascii="Arial" w:eastAsia="Arial" w:hAnsi="Arial" w:cs="Arial"/>
          <w:sz w:val="24"/>
          <w:szCs w:val="24"/>
        </w:rPr>
        <w:t xml:space="preserve">The Buyer must (unless self-insuring):  </w:t>
      </w:r>
    </w:p>
    <w:p w:rsidR="002E58C4" w:rsidRDefault="00C81E39">
      <w:pPr>
        <w:pStyle w:val="Heading3"/>
        <w:numPr>
          <w:ilvl w:val="2"/>
          <w:numId w:val="4"/>
        </w:numPr>
        <w:ind w:left="2409" w:hanging="991"/>
        <w:rPr>
          <w:rFonts w:ascii="Arial" w:eastAsia="Arial" w:hAnsi="Arial" w:cs="Arial"/>
          <w:sz w:val="24"/>
          <w:szCs w:val="24"/>
        </w:rPr>
      </w:pPr>
      <w:bookmarkStart w:id="17" w:name="_heading=h.44sinio" w:colFirst="0" w:colLast="0"/>
      <w:bookmarkEnd w:id="17"/>
      <w:r>
        <w:rPr>
          <w:rFonts w:ascii="Arial" w:eastAsia="Arial" w:hAnsi="Arial" w:cs="Arial"/>
          <w:sz w:val="24"/>
          <w:szCs w:val="24"/>
        </w:rPr>
        <w:t>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rsidR="002E58C4" w:rsidRDefault="00C81E39">
      <w:pPr>
        <w:pStyle w:val="Heading3"/>
        <w:numPr>
          <w:ilvl w:val="2"/>
          <w:numId w:val="4"/>
        </w:numPr>
        <w:ind w:left="2409" w:hanging="991"/>
        <w:rPr>
          <w:rFonts w:ascii="Arial" w:eastAsia="Arial" w:hAnsi="Arial" w:cs="Arial"/>
          <w:sz w:val="24"/>
          <w:szCs w:val="24"/>
        </w:rPr>
      </w:pPr>
      <w:r>
        <w:rPr>
          <w:rFonts w:ascii="Arial" w:eastAsia="Arial" w:hAnsi="Arial" w:cs="Arial"/>
          <w:sz w:val="24"/>
          <w:szCs w:val="24"/>
        </w:rPr>
        <w:t>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2E58C4" w:rsidRDefault="00C81E39">
      <w:pPr>
        <w:pStyle w:val="Heading3"/>
        <w:numPr>
          <w:ilvl w:val="2"/>
          <w:numId w:val="4"/>
        </w:numPr>
        <w:ind w:left="2409" w:hanging="991"/>
        <w:rPr>
          <w:rFonts w:ascii="Arial" w:eastAsia="Arial" w:hAnsi="Arial" w:cs="Arial"/>
          <w:sz w:val="24"/>
          <w:szCs w:val="24"/>
        </w:rPr>
      </w:pPr>
      <w:r>
        <w:rPr>
          <w:rFonts w:ascii="Arial" w:eastAsia="Arial" w:hAnsi="Arial" w:cs="Arial"/>
          <w:sz w:val="24"/>
          <w:szCs w:val="24"/>
        </w:rPr>
        <w:t>apply all money received in respect of such insurances in the repairing of damage to or in restoring or replacing the Equipment; and</w:t>
      </w:r>
    </w:p>
    <w:p w:rsidR="002E58C4" w:rsidRDefault="00C81E39">
      <w:pPr>
        <w:pStyle w:val="Heading3"/>
        <w:numPr>
          <w:ilvl w:val="2"/>
          <w:numId w:val="4"/>
        </w:numPr>
        <w:ind w:left="2409" w:hanging="991"/>
        <w:rPr>
          <w:rFonts w:ascii="Arial" w:eastAsia="Arial" w:hAnsi="Arial" w:cs="Arial"/>
          <w:sz w:val="24"/>
          <w:szCs w:val="24"/>
        </w:rPr>
      </w:pPr>
      <w:r>
        <w:rPr>
          <w:rFonts w:ascii="Arial" w:eastAsia="Arial" w:hAnsi="Arial" w:cs="Arial"/>
          <w:sz w:val="24"/>
          <w:szCs w:val="24"/>
        </w:rPr>
        <w:t>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2E58C4" w:rsidRDefault="00C81E39">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rsidR="002E58C4" w:rsidRDefault="00C81E39">
      <w:pPr>
        <w:pStyle w:val="Heading2"/>
        <w:keepNext/>
        <w:ind w:left="720" w:firstLine="0"/>
        <w:rPr>
          <w:rFonts w:ascii="Arial" w:eastAsia="Arial" w:hAnsi="Arial" w:cs="Arial"/>
          <w:b/>
          <w:sz w:val="24"/>
          <w:szCs w:val="24"/>
        </w:rPr>
      </w:pPr>
      <w:r>
        <w:rPr>
          <w:rFonts w:ascii="Arial" w:eastAsia="Arial" w:hAnsi="Arial" w:cs="Arial"/>
          <w:b/>
          <w:sz w:val="24"/>
          <w:szCs w:val="24"/>
        </w:rPr>
        <w:t>Fines and Penalties</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rsidR="002E58C4" w:rsidRDefault="00C81E39">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Taking Overseas</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(and provision of document VE103 by Supplier to the Buyer) which cannot be unreasonably withheld or delayed.</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without the previous written consent of the Supplier which cannot be unreasonably withheld or delayed.  </w:t>
      </w:r>
    </w:p>
    <w:p w:rsidR="002E58C4" w:rsidRDefault="00C81E39">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rsidR="002E58C4" w:rsidRDefault="00C81E39">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rsidR="002E58C4" w:rsidRDefault="00C81E39">
      <w:pPr>
        <w:pStyle w:val="Heading3"/>
        <w:numPr>
          <w:ilvl w:val="2"/>
          <w:numId w:val="4"/>
        </w:numPr>
        <w:ind w:left="2409" w:hanging="849"/>
        <w:rPr>
          <w:rFonts w:ascii="Arial" w:eastAsia="Arial" w:hAnsi="Arial" w:cs="Arial"/>
          <w:sz w:val="24"/>
          <w:szCs w:val="24"/>
        </w:rPr>
      </w:pPr>
      <w:bookmarkStart w:id="18" w:name="_heading=h.2jxsxqh" w:colFirst="0" w:colLast="0"/>
      <w:bookmarkEnd w:id="18"/>
      <w:r>
        <w:rPr>
          <w:rFonts w:ascii="Arial" w:eastAsia="Arial" w:hAnsi="Arial" w:cs="Arial"/>
          <w:sz w:val="24"/>
          <w:szCs w:val="24"/>
        </w:rPr>
        <w:t>make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rsidR="002E58C4" w:rsidRDefault="00C81E39">
      <w:pPr>
        <w:pStyle w:val="Heading3"/>
        <w:numPr>
          <w:ilvl w:val="2"/>
          <w:numId w:val="4"/>
        </w:numPr>
        <w:ind w:left="2409" w:hanging="849"/>
        <w:rPr>
          <w:rFonts w:ascii="Arial" w:eastAsia="Arial" w:hAnsi="Arial" w:cs="Arial"/>
          <w:sz w:val="24"/>
          <w:szCs w:val="24"/>
        </w:rPr>
      </w:pPr>
      <w:bookmarkStart w:id="19" w:name="_heading=h.z337ya" w:colFirst="0" w:colLast="0"/>
      <w:bookmarkEnd w:id="19"/>
      <w:r>
        <w:rPr>
          <w:rFonts w:ascii="Arial" w:eastAsia="Arial" w:hAnsi="Arial" w:cs="Arial"/>
          <w:sz w:val="24"/>
          <w:szCs w:val="24"/>
        </w:rPr>
        <w:t>complete an inspection form with the Supplier on the Return Date and ensure that the Equipment is returned and that the Equipment is in a good and roadworthy condition making due allowance for Fair Wear and Tear;</w:t>
      </w:r>
    </w:p>
    <w:p w:rsidR="002E58C4" w:rsidRDefault="00C81E39">
      <w:pPr>
        <w:pStyle w:val="Heading3"/>
        <w:numPr>
          <w:ilvl w:val="2"/>
          <w:numId w:val="4"/>
        </w:numPr>
        <w:ind w:left="2409" w:hanging="849"/>
        <w:rPr>
          <w:rFonts w:ascii="Arial" w:eastAsia="Arial" w:hAnsi="Arial" w:cs="Arial"/>
          <w:sz w:val="24"/>
          <w:szCs w:val="24"/>
        </w:rPr>
      </w:pPr>
      <w:r>
        <w:rPr>
          <w:rFonts w:ascii="Arial" w:eastAsia="Arial" w:hAnsi="Arial" w:cs="Arial"/>
          <w:sz w:val="24"/>
          <w:szCs w:val="24"/>
        </w:rPr>
        <w:t>remove all personal effects and any other items belonging to the Buyer;</w:t>
      </w:r>
    </w:p>
    <w:p w:rsidR="002E58C4" w:rsidRDefault="00C81E39">
      <w:pPr>
        <w:pStyle w:val="Heading3"/>
        <w:numPr>
          <w:ilvl w:val="2"/>
          <w:numId w:val="4"/>
        </w:numPr>
        <w:ind w:left="2409" w:hanging="849"/>
        <w:rPr>
          <w:rFonts w:ascii="Arial" w:eastAsia="Arial" w:hAnsi="Arial" w:cs="Arial"/>
          <w:sz w:val="24"/>
          <w:szCs w:val="24"/>
        </w:rPr>
      </w:pPr>
      <w:bookmarkStart w:id="20" w:name="_heading=h.3j2qqm3" w:colFirst="0" w:colLast="0"/>
      <w:bookmarkEnd w:id="20"/>
      <w:r>
        <w:rPr>
          <w:rFonts w:ascii="Arial" w:eastAsia="Arial" w:hAnsi="Arial" w:cs="Arial"/>
          <w:sz w:val="24"/>
          <w:szCs w:val="24"/>
        </w:rPr>
        <w:t>if the Supplier notifies the Buyer that the Equipment is not in the condition required under paragraph 9.18.2,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2E58C4" w:rsidRDefault="00C81E39">
      <w:pPr>
        <w:pStyle w:val="Heading3"/>
        <w:numPr>
          <w:ilvl w:val="2"/>
          <w:numId w:val="4"/>
        </w:numPr>
        <w:ind w:left="2409" w:hanging="849"/>
        <w:rPr>
          <w:rFonts w:ascii="Arial" w:eastAsia="Arial" w:hAnsi="Arial" w:cs="Arial"/>
          <w:sz w:val="24"/>
          <w:szCs w:val="24"/>
        </w:rPr>
      </w:pPr>
      <w:bookmarkStart w:id="21" w:name="_heading=h.1y810tw" w:colFirst="0" w:colLast="0"/>
      <w:bookmarkEnd w:id="21"/>
      <w:r>
        <w:rPr>
          <w:rFonts w:ascii="Arial" w:eastAsia="Arial" w:hAnsi="Arial" w:cs="Arial"/>
          <w:sz w:val="24"/>
          <w:szCs w:val="24"/>
        </w:rPr>
        <w:t xml:space="preserve">in the event of a dispute the Equipment or other form of evidence acceptable to the Buyer must be held by the Supplier until an independent assessment has been made in accordance with Clause 9.18.4 above. The costs of the </w:t>
      </w:r>
      <w:r>
        <w:rPr>
          <w:rFonts w:ascii="Arial" w:eastAsia="Arial" w:hAnsi="Arial" w:cs="Arial"/>
          <w:sz w:val="24"/>
          <w:szCs w:val="24"/>
        </w:rPr>
        <w:lastRenderedPageBreak/>
        <w:t>independent consultant must be borne equally between the Buyer and the Supplier provided that both Parties act reasonably at all times during the dispute;</w:t>
      </w:r>
    </w:p>
    <w:p w:rsidR="002E58C4" w:rsidRDefault="00C81E39">
      <w:pPr>
        <w:pStyle w:val="Heading3"/>
        <w:numPr>
          <w:ilvl w:val="2"/>
          <w:numId w:val="4"/>
        </w:numPr>
        <w:ind w:left="2410" w:hanging="850"/>
        <w:rPr>
          <w:rFonts w:ascii="Arial" w:eastAsia="Arial" w:hAnsi="Arial" w:cs="Arial"/>
          <w:sz w:val="24"/>
          <w:szCs w:val="24"/>
        </w:rPr>
      </w:pPr>
      <w:r>
        <w:rPr>
          <w:rFonts w:ascii="Arial" w:eastAsia="Arial" w:hAnsi="Arial" w:cs="Arial"/>
          <w:sz w:val="24"/>
          <w:szCs w:val="24"/>
        </w:rPr>
        <w:t>in the event of damage to any Equipment the Supplier must forward an invoice to the Buyer within thirty (30) days following the Return Date.  In the case of dispute the Buyer will notify the Supplier of what is in dispute within thirty (30) days of receipt of invoice or pay the invoice in accordance with the payment terms.  Any such dispute must be resolved in accordance with Clause 34 of the Core Terms.</w:t>
      </w:r>
    </w:p>
    <w:p w:rsidR="002E58C4" w:rsidRDefault="00C81E39">
      <w:pPr>
        <w:pStyle w:val="Heading1"/>
        <w:numPr>
          <w:ilvl w:val="0"/>
          <w:numId w:val="4"/>
        </w:numPr>
        <w:rPr>
          <w:rFonts w:ascii="Arial" w:eastAsia="Arial" w:hAnsi="Arial" w:cs="Arial"/>
          <w:sz w:val="24"/>
          <w:szCs w:val="24"/>
        </w:rPr>
      </w:pPr>
      <w:bookmarkStart w:id="22" w:name="_heading=h.4i7ojhp" w:colFirst="0" w:colLast="0"/>
      <w:bookmarkEnd w:id="22"/>
      <w:r>
        <w:rPr>
          <w:rFonts w:ascii="Arial" w:eastAsia="Arial" w:hAnsi="Arial" w:cs="Arial"/>
          <w:smallCaps w:val="0"/>
          <w:sz w:val="24"/>
          <w:szCs w:val="24"/>
        </w:rPr>
        <w:t>Termination Of A Lease</w:t>
      </w:r>
    </w:p>
    <w:p w:rsidR="002E58C4" w:rsidRDefault="00C81E39">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rsidR="002E58C4" w:rsidRDefault="00C81E39">
      <w:pPr>
        <w:pStyle w:val="Heading3"/>
        <w:numPr>
          <w:ilvl w:val="2"/>
          <w:numId w:val="4"/>
        </w:numPr>
        <w:ind w:left="2409" w:hanging="991"/>
        <w:rPr>
          <w:rFonts w:ascii="Arial" w:eastAsia="Arial" w:hAnsi="Arial" w:cs="Arial"/>
          <w:sz w:val="24"/>
          <w:szCs w:val="24"/>
        </w:rPr>
      </w:pPr>
      <w:r>
        <w:rPr>
          <w:rFonts w:ascii="Arial" w:eastAsia="Arial" w:hAnsi="Arial" w:cs="Arial"/>
          <w:sz w:val="24"/>
          <w:szCs w:val="24"/>
        </w:rPr>
        <w:t>the Buyer fails to pay any amount due under this Call-Off Contract on the due date for payment and remains in Default not less than 40 Working Days after being notified in writing to make such payment;</w:t>
      </w:r>
    </w:p>
    <w:p w:rsidR="002E58C4" w:rsidRDefault="00C81E39">
      <w:pPr>
        <w:pStyle w:val="Heading3"/>
        <w:numPr>
          <w:ilvl w:val="2"/>
          <w:numId w:val="4"/>
        </w:numPr>
        <w:ind w:left="2409" w:hanging="991"/>
        <w:rPr>
          <w:rFonts w:ascii="Arial" w:eastAsia="Arial" w:hAnsi="Arial" w:cs="Arial"/>
          <w:sz w:val="24"/>
          <w:szCs w:val="24"/>
        </w:rPr>
      </w:pPr>
      <w:r>
        <w:rPr>
          <w:rFonts w:ascii="Arial" w:eastAsia="Arial" w:hAnsi="Arial" w:cs="Arial"/>
          <w:sz w:val="24"/>
          <w:szCs w:val="24"/>
        </w:rPr>
        <w:t>there is a material default of any other term of these Lease Terms by the Buyer which is irremediable or (if such breach is remediable) fails to remedy that breach within a period of 30 Working Days after being notified in writing to do so; or</w:t>
      </w:r>
    </w:p>
    <w:p w:rsidR="002E58C4" w:rsidRDefault="00C81E39">
      <w:pPr>
        <w:pStyle w:val="Heading3"/>
        <w:numPr>
          <w:ilvl w:val="2"/>
          <w:numId w:val="4"/>
        </w:numPr>
        <w:ind w:left="2409" w:hanging="991"/>
        <w:rPr>
          <w:rFonts w:ascii="Arial" w:eastAsia="Arial" w:hAnsi="Arial" w:cs="Arial"/>
          <w:sz w:val="24"/>
          <w:szCs w:val="24"/>
        </w:rPr>
      </w:pPr>
      <w:r>
        <w:rPr>
          <w:rFonts w:ascii="Arial" w:eastAsia="Arial" w:hAnsi="Arial" w:cs="Arial"/>
          <w:sz w:val="24"/>
          <w:szCs w:val="24"/>
        </w:rPr>
        <w:t>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rsidR="002E58C4" w:rsidRDefault="00C81E39">
      <w:pPr>
        <w:pStyle w:val="Heading2"/>
        <w:numPr>
          <w:ilvl w:val="1"/>
          <w:numId w:val="4"/>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rsidR="002E58C4" w:rsidRDefault="00C81E39">
      <w:pPr>
        <w:pStyle w:val="Heading2"/>
        <w:numPr>
          <w:ilvl w:val="1"/>
          <w:numId w:val="4"/>
        </w:numPr>
        <w:ind w:left="1440"/>
        <w:rPr>
          <w:rFonts w:ascii="Arial" w:eastAsia="Arial" w:hAnsi="Arial" w:cs="Arial"/>
          <w:sz w:val="24"/>
          <w:szCs w:val="24"/>
        </w:rPr>
      </w:pPr>
      <w:bookmarkStart w:id="23" w:name="_heading=h.2xcytpi" w:colFirst="0" w:colLast="0"/>
      <w:bookmarkEnd w:id="23"/>
      <w:r>
        <w:rPr>
          <w:rFonts w:ascii="Arial" w:eastAsia="Arial" w:hAnsi="Arial" w:cs="Arial"/>
          <w:sz w:val="24"/>
          <w:szCs w:val="24"/>
        </w:rPr>
        <w:t>At any time, the Buyer can terminate the hire of any piece of Equipment by giving 10 days’ written notice to the Supplier.</w:t>
      </w:r>
    </w:p>
    <w:p w:rsidR="002E58C4" w:rsidRDefault="002E58C4">
      <w:pPr>
        <w:pBdr>
          <w:top w:val="nil"/>
          <w:left w:val="nil"/>
          <w:bottom w:val="nil"/>
          <w:right w:val="nil"/>
          <w:between w:val="nil"/>
        </w:pBdr>
        <w:ind w:left="1603"/>
        <w:rPr>
          <w:color w:val="000000"/>
        </w:rPr>
      </w:pPr>
    </w:p>
    <w:p w:rsidR="002E58C4" w:rsidRDefault="00C81E39">
      <w:pPr>
        <w:pStyle w:val="Heading1"/>
        <w:numPr>
          <w:ilvl w:val="0"/>
          <w:numId w:val="4"/>
        </w:numPr>
        <w:rPr>
          <w:rFonts w:ascii="Arial" w:eastAsia="Arial" w:hAnsi="Arial" w:cs="Arial"/>
          <w:sz w:val="24"/>
          <w:szCs w:val="24"/>
        </w:rPr>
      </w:pPr>
      <w:bookmarkStart w:id="24" w:name="_heading=h.1ci93xb" w:colFirst="0" w:colLast="0"/>
      <w:bookmarkEnd w:id="24"/>
      <w:r>
        <w:rPr>
          <w:rFonts w:ascii="Arial" w:eastAsia="Arial" w:hAnsi="Arial" w:cs="Arial"/>
          <w:smallCaps w:val="0"/>
          <w:sz w:val="24"/>
          <w:szCs w:val="24"/>
        </w:rPr>
        <w:t>Consequences Of Expiry Or Termination</w:t>
      </w:r>
    </w:p>
    <w:p w:rsidR="002E58C4" w:rsidRDefault="00C81E39">
      <w:pPr>
        <w:pStyle w:val="Heading2"/>
        <w:keepNext/>
        <w:ind w:left="0" w:firstLine="0"/>
      </w:pPr>
      <w:bookmarkStart w:id="25" w:name="_heading=h.3whwml4" w:colFirst="0" w:colLast="0"/>
      <w:bookmarkEnd w:id="25"/>
      <w:r>
        <w:rPr>
          <w:rFonts w:ascii="Arial" w:eastAsia="Arial" w:hAnsi="Arial" w:cs="Arial"/>
          <w:b/>
          <w:sz w:val="24"/>
          <w:szCs w:val="24"/>
        </w:rPr>
        <w:t>Payment for Early Termination</w:t>
      </w:r>
    </w:p>
    <w:p w:rsidR="002E58C4" w:rsidRDefault="00C81E39">
      <w:pPr>
        <w:pStyle w:val="Heading2"/>
        <w:numPr>
          <w:ilvl w:val="1"/>
          <w:numId w:val="4"/>
        </w:numPr>
        <w:ind w:left="1559" w:hanging="615"/>
        <w:rPr>
          <w:rFonts w:ascii="Arial" w:eastAsia="Arial" w:hAnsi="Arial" w:cs="Arial"/>
          <w:sz w:val="24"/>
          <w:szCs w:val="24"/>
        </w:rPr>
      </w:pPr>
      <w:bookmarkStart w:id="26" w:name="_heading=h.2bn6wsx" w:colFirst="0" w:colLast="0"/>
      <w:bookmarkEnd w:id="26"/>
      <w:r>
        <w:rPr>
          <w:rFonts w:ascii="Arial" w:eastAsia="Arial" w:hAnsi="Arial" w:cs="Arial"/>
          <w:sz w:val="24"/>
          <w:szCs w:val="24"/>
        </w:rPr>
        <w:t>In any rolling 12 month period, the Buyer can terminate the hire of up to 10% of the cumulative number of pieces of Equipment using the payment terms in paragraph 11.2. Termination of Equipment above this 10% cap will be calculated as detailed in paragraph 11.5.</w:t>
      </w:r>
    </w:p>
    <w:p w:rsidR="002E58C4" w:rsidRDefault="00C81E39">
      <w:pPr>
        <w:pBdr>
          <w:top w:val="nil"/>
          <w:left w:val="nil"/>
          <w:bottom w:val="nil"/>
          <w:right w:val="nil"/>
          <w:between w:val="nil"/>
        </w:pBdr>
        <w:rPr>
          <w:rFonts w:ascii="Arial" w:eastAsia="Arial" w:hAnsi="Arial" w:cs="Arial"/>
          <w:b/>
          <w:color w:val="000000"/>
        </w:rPr>
      </w:pPr>
      <w:r>
        <w:rPr>
          <w:rFonts w:ascii="Arial" w:eastAsia="Arial" w:hAnsi="Arial" w:cs="Arial"/>
          <w:b/>
          <w:color w:val="000000"/>
        </w:rPr>
        <w:lastRenderedPageBreak/>
        <w:t>Terminating Equipment up to 3.5 tonnes that is not converted</w:t>
      </w:r>
    </w:p>
    <w:p w:rsidR="002E58C4" w:rsidRDefault="002E58C4">
      <w:pPr>
        <w:pBdr>
          <w:top w:val="nil"/>
          <w:left w:val="nil"/>
          <w:bottom w:val="nil"/>
          <w:right w:val="nil"/>
          <w:between w:val="nil"/>
        </w:pBdr>
        <w:rPr>
          <w:color w:val="000000"/>
        </w:rPr>
      </w:pPr>
    </w:p>
    <w:p w:rsidR="002E58C4" w:rsidRDefault="00C81E39">
      <w:pPr>
        <w:pStyle w:val="Heading2"/>
        <w:numPr>
          <w:ilvl w:val="1"/>
          <w:numId w:val="4"/>
        </w:numPr>
        <w:ind w:left="1560" w:hanging="681"/>
        <w:rPr>
          <w:rFonts w:ascii="Arial" w:eastAsia="Arial" w:hAnsi="Arial" w:cs="Arial"/>
        </w:rPr>
      </w:pPr>
      <w:bookmarkStart w:id="27" w:name="_heading=h.qsh70q" w:colFirst="0" w:colLast="0"/>
      <w:bookmarkEnd w:id="27"/>
      <w:r>
        <w:rPr>
          <w:rFonts w:ascii="Arial" w:eastAsia="Arial" w:hAnsi="Arial" w:cs="Arial"/>
          <w:sz w:val="24"/>
          <w:szCs w:val="24"/>
        </w:rPr>
        <w:t>Where paragraph 11.1 applies and the Equipment is a passenger motor vehicle or a light commercial vehicle up to 3.5 tonnes that has not been subject to conversion, the standard early termination charges apply and the Supplier must invoice the Buyer as appropriate within thirty (30) days following the termination.</w:t>
      </w:r>
    </w:p>
    <w:p w:rsidR="002E58C4" w:rsidRDefault="00C81E39">
      <w:pPr>
        <w:pStyle w:val="Heading2"/>
        <w:numPr>
          <w:ilvl w:val="1"/>
          <w:numId w:val="4"/>
        </w:numPr>
        <w:ind w:left="1560" w:hanging="709"/>
        <w:rPr>
          <w:rFonts w:ascii="Arial" w:eastAsia="Arial" w:hAnsi="Arial" w:cs="Arial"/>
          <w:sz w:val="24"/>
          <w:szCs w:val="24"/>
        </w:rPr>
      </w:pPr>
      <w:bookmarkStart w:id="28" w:name="_heading=h.3as4poj" w:colFirst="0" w:colLast="0"/>
      <w:bookmarkEnd w:id="28"/>
      <w:r>
        <w:rPr>
          <w:rFonts w:ascii="Arial" w:eastAsia="Arial" w:hAnsi="Arial" w:cs="Arial"/>
          <w:sz w:val="24"/>
          <w:szCs w:val="24"/>
        </w:rPr>
        <w:t>Table 1 shows the number of months rental that are payable by the Buyer to the Supplier as an Early Termination Charge when an Equipment lease is terminated before the end of the Lease Period. The calculation is based on the contracted Lease Period for the Equipment and the point at which the contract is terminated.</w:t>
      </w:r>
    </w:p>
    <w:p w:rsidR="002E58C4" w:rsidRDefault="00C81E39">
      <w:pPr>
        <w:pStyle w:val="Heading2"/>
        <w:spacing w:after="0"/>
        <w:ind w:left="851" w:firstLine="0"/>
        <w:rPr>
          <w:rFonts w:ascii="Arial" w:eastAsia="Arial" w:hAnsi="Arial" w:cs="Arial"/>
          <w:sz w:val="24"/>
          <w:szCs w:val="24"/>
        </w:rPr>
      </w:pPr>
      <w:r>
        <w:rPr>
          <w:rFonts w:ascii="Arial" w:eastAsia="Arial" w:hAnsi="Arial" w:cs="Arial"/>
          <w:sz w:val="24"/>
          <w:szCs w:val="24"/>
        </w:rPr>
        <w:t>Table 1: Early Termination Charges</w:t>
      </w:r>
    </w:p>
    <w:p w:rsidR="002E58C4" w:rsidRDefault="002E58C4">
      <w:pPr>
        <w:pBdr>
          <w:top w:val="nil"/>
          <w:left w:val="nil"/>
          <w:bottom w:val="nil"/>
          <w:right w:val="nil"/>
          <w:between w:val="nil"/>
        </w:pBdr>
        <w:ind w:left="540"/>
        <w:rPr>
          <w:color w:val="000000"/>
        </w:rPr>
      </w:pPr>
    </w:p>
    <w:tbl>
      <w:tblPr>
        <w:tblStyle w:val="a4"/>
        <w:tblW w:w="8221"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7"/>
        <w:gridCol w:w="1636"/>
        <w:gridCol w:w="1636"/>
        <w:gridCol w:w="1636"/>
        <w:gridCol w:w="1636"/>
      </w:tblGrid>
      <w:tr w:rsidR="002E58C4">
        <w:trPr>
          <w:trHeight w:val="389"/>
        </w:trPr>
        <w:tc>
          <w:tcPr>
            <w:tcW w:w="1677" w:type="dxa"/>
            <w:vMerge w:val="restart"/>
            <w:shd w:val="clear" w:color="auto" w:fill="C2D69B"/>
            <w:vAlign w:val="center"/>
          </w:tcPr>
          <w:p w:rsidR="002E58C4" w:rsidRDefault="00C81E39">
            <w:pPr>
              <w:pStyle w:val="Heading2"/>
              <w:spacing w:after="0"/>
              <w:ind w:left="0" w:firstLine="0"/>
              <w:jc w:val="center"/>
              <w:rPr>
                <w:rFonts w:ascii="Arial" w:eastAsia="Arial" w:hAnsi="Arial" w:cs="Arial"/>
                <w:b/>
                <w:sz w:val="20"/>
                <w:szCs w:val="20"/>
              </w:rPr>
            </w:pPr>
            <w:r>
              <w:rPr>
                <w:rFonts w:ascii="Arial" w:eastAsia="Arial" w:hAnsi="Arial" w:cs="Arial"/>
                <w:b/>
                <w:sz w:val="20"/>
                <w:szCs w:val="20"/>
              </w:rPr>
              <w:t>YEAR OF TERMINATION</w:t>
            </w:r>
          </w:p>
        </w:tc>
        <w:tc>
          <w:tcPr>
            <w:tcW w:w="6544" w:type="dxa"/>
            <w:gridSpan w:val="4"/>
            <w:shd w:val="clear" w:color="auto" w:fill="B8CCE4"/>
            <w:vAlign w:val="center"/>
          </w:tcPr>
          <w:p w:rsidR="002E58C4" w:rsidRDefault="00C81E39">
            <w:pPr>
              <w:pStyle w:val="Heading2"/>
              <w:spacing w:after="0"/>
              <w:ind w:left="-58" w:firstLine="0"/>
              <w:jc w:val="center"/>
              <w:rPr>
                <w:rFonts w:ascii="Arial" w:eastAsia="Arial" w:hAnsi="Arial" w:cs="Arial"/>
                <w:b/>
                <w:sz w:val="20"/>
                <w:szCs w:val="20"/>
              </w:rPr>
            </w:pPr>
            <w:r>
              <w:rPr>
                <w:rFonts w:ascii="Arial" w:eastAsia="Arial" w:hAnsi="Arial" w:cs="Arial"/>
                <w:b/>
                <w:sz w:val="20"/>
                <w:szCs w:val="20"/>
              </w:rPr>
              <w:t>CONTRACTED LEASE PERIOD</w:t>
            </w:r>
          </w:p>
        </w:tc>
      </w:tr>
      <w:tr w:rsidR="002E58C4">
        <w:trPr>
          <w:trHeight w:val="401"/>
        </w:trPr>
        <w:tc>
          <w:tcPr>
            <w:tcW w:w="1677" w:type="dxa"/>
            <w:vMerge/>
            <w:shd w:val="clear" w:color="auto" w:fill="C2D69B"/>
            <w:vAlign w:val="center"/>
          </w:tcPr>
          <w:p w:rsidR="002E58C4" w:rsidRDefault="002E58C4">
            <w:pPr>
              <w:widowControl w:val="0"/>
              <w:pBdr>
                <w:top w:val="nil"/>
                <w:left w:val="nil"/>
                <w:bottom w:val="nil"/>
                <w:right w:val="nil"/>
                <w:between w:val="nil"/>
              </w:pBdr>
              <w:spacing w:line="276" w:lineRule="auto"/>
              <w:rPr>
                <w:rFonts w:ascii="Arial" w:eastAsia="Arial" w:hAnsi="Arial" w:cs="Arial"/>
                <w:b/>
                <w:sz w:val="20"/>
                <w:szCs w:val="20"/>
              </w:rPr>
            </w:pPr>
          </w:p>
        </w:tc>
        <w:tc>
          <w:tcPr>
            <w:tcW w:w="1636" w:type="dxa"/>
            <w:shd w:val="clear" w:color="auto" w:fill="B8CCE4"/>
            <w:vAlign w:val="center"/>
          </w:tcPr>
          <w:p w:rsidR="002E58C4" w:rsidRDefault="00C81E39">
            <w:pPr>
              <w:pStyle w:val="Heading2"/>
              <w:spacing w:after="0"/>
              <w:ind w:left="0" w:firstLine="0"/>
              <w:jc w:val="center"/>
              <w:rPr>
                <w:rFonts w:ascii="Arial" w:eastAsia="Arial" w:hAnsi="Arial" w:cs="Arial"/>
                <w:sz w:val="20"/>
                <w:szCs w:val="20"/>
              </w:rPr>
            </w:pPr>
            <w:r>
              <w:rPr>
                <w:rFonts w:ascii="Arial" w:eastAsia="Arial" w:hAnsi="Arial" w:cs="Arial"/>
                <w:sz w:val="20"/>
                <w:szCs w:val="20"/>
              </w:rPr>
              <w:t>2 Years</w:t>
            </w:r>
          </w:p>
        </w:tc>
        <w:tc>
          <w:tcPr>
            <w:tcW w:w="1636" w:type="dxa"/>
            <w:shd w:val="clear" w:color="auto" w:fill="B8CCE4"/>
            <w:vAlign w:val="center"/>
          </w:tcPr>
          <w:p w:rsidR="002E58C4" w:rsidRDefault="00C81E39">
            <w:pPr>
              <w:pStyle w:val="Heading2"/>
              <w:spacing w:after="0"/>
              <w:ind w:left="0" w:firstLine="0"/>
              <w:jc w:val="center"/>
              <w:rPr>
                <w:rFonts w:ascii="Arial" w:eastAsia="Arial" w:hAnsi="Arial" w:cs="Arial"/>
                <w:sz w:val="20"/>
                <w:szCs w:val="20"/>
              </w:rPr>
            </w:pPr>
            <w:r>
              <w:rPr>
                <w:rFonts w:ascii="Arial" w:eastAsia="Arial" w:hAnsi="Arial" w:cs="Arial"/>
                <w:sz w:val="20"/>
                <w:szCs w:val="20"/>
              </w:rPr>
              <w:t>3 Years</w:t>
            </w:r>
          </w:p>
        </w:tc>
        <w:tc>
          <w:tcPr>
            <w:tcW w:w="1636" w:type="dxa"/>
            <w:shd w:val="clear" w:color="auto" w:fill="B8CCE4"/>
            <w:vAlign w:val="center"/>
          </w:tcPr>
          <w:p w:rsidR="002E58C4" w:rsidRDefault="00C81E39">
            <w:pPr>
              <w:pStyle w:val="Heading2"/>
              <w:spacing w:after="0"/>
              <w:ind w:left="0" w:firstLine="0"/>
              <w:jc w:val="center"/>
              <w:rPr>
                <w:rFonts w:ascii="Arial" w:eastAsia="Arial" w:hAnsi="Arial" w:cs="Arial"/>
                <w:sz w:val="20"/>
                <w:szCs w:val="20"/>
              </w:rPr>
            </w:pPr>
            <w:r>
              <w:rPr>
                <w:rFonts w:ascii="Arial" w:eastAsia="Arial" w:hAnsi="Arial" w:cs="Arial"/>
                <w:sz w:val="20"/>
                <w:szCs w:val="20"/>
              </w:rPr>
              <w:t>4 Years</w:t>
            </w:r>
          </w:p>
        </w:tc>
        <w:tc>
          <w:tcPr>
            <w:tcW w:w="1636" w:type="dxa"/>
            <w:shd w:val="clear" w:color="auto" w:fill="B8CCE4"/>
            <w:vAlign w:val="center"/>
          </w:tcPr>
          <w:p w:rsidR="002E58C4" w:rsidRDefault="00C81E39">
            <w:pPr>
              <w:pStyle w:val="Heading2"/>
              <w:spacing w:after="0"/>
              <w:ind w:left="-69" w:firstLine="0"/>
              <w:jc w:val="center"/>
              <w:rPr>
                <w:rFonts w:ascii="Arial" w:eastAsia="Arial" w:hAnsi="Arial" w:cs="Arial"/>
                <w:sz w:val="20"/>
                <w:szCs w:val="20"/>
              </w:rPr>
            </w:pPr>
            <w:r>
              <w:rPr>
                <w:rFonts w:ascii="Arial" w:eastAsia="Arial" w:hAnsi="Arial" w:cs="Arial"/>
                <w:sz w:val="20"/>
                <w:szCs w:val="20"/>
              </w:rPr>
              <w:t>5 Years</w:t>
            </w:r>
          </w:p>
        </w:tc>
      </w:tr>
      <w:tr w:rsidR="002E58C4">
        <w:trPr>
          <w:trHeight w:val="466"/>
        </w:trPr>
        <w:tc>
          <w:tcPr>
            <w:tcW w:w="1677" w:type="dxa"/>
            <w:shd w:val="clear" w:color="auto" w:fill="C2D69B"/>
            <w:vAlign w:val="center"/>
          </w:tcPr>
          <w:p w:rsidR="002E58C4" w:rsidRDefault="00C81E39">
            <w:pPr>
              <w:pStyle w:val="Heading2"/>
              <w:spacing w:after="0"/>
              <w:ind w:left="0" w:firstLine="0"/>
              <w:jc w:val="center"/>
              <w:rPr>
                <w:rFonts w:ascii="Arial" w:eastAsia="Arial" w:hAnsi="Arial" w:cs="Arial"/>
                <w:sz w:val="20"/>
                <w:szCs w:val="20"/>
              </w:rPr>
            </w:pPr>
            <w:r>
              <w:rPr>
                <w:rFonts w:ascii="Arial" w:eastAsia="Arial" w:hAnsi="Arial" w:cs="Arial"/>
                <w:sz w:val="20"/>
                <w:szCs w:val="20"/>
              </w:rPr>
              <w:t>1</w:t>
            </w:r>
          </w:p>
        </w:tc>
        <w:tc>
          <w:tcPr>
            <w:tcW w:w="1636" w:type="dxa"/>
            <w:shd w:val="clear" w:color="auto" w:fill="auto"/>
            <w:vAlign w:val="center"/>
          </w:tcPr>
          <w:p w:rsidR="002E58C4" w:rsidRDefault="00C81E39">
            <w:pPr>
              <w:pStyle w:val="Heading2"/>
              <w:spacing w:before="60" w:after="60"/>
              <w:ind w:left="0" w:firstLine="0"/>
              <w:jc w:val="center"/>
              <w:rPr>
                <w:rFonts w:ascii="Arial" w:eastAsia="Arial" w:hAnsi="Arial" w:cs="Arial"/>
                <w:sz w:val="20"/>
                <w:szCs w:val="20"/>
              </w:rPr>
            </w:pPr>
            <w:r>
              <w:rPr>
                <w:rFonts w:ascii="Arial" w:eastAsia="Arial" w:hAnsi="Arial" w:cs="Arial"/>
                <w:sz w:val="20"/>
                <w:szCs w:val="20"/>
              </w:rPr>
              <w:t>2 months Rental</w:t>
            </w:r>
          </w:p>
        </w:tc>
        <w:tc>
          <w:tcPr>
            <w:tcW w:w="1636" w:type="dxa"/>
            <w:shd w:val="clear" w:color="auto" w:fill="auto"/>
            <w:vAlign w:val="center"/>
          </w:tcPr>
          <w:p w:rsidR="002E58C4" w:rsidRDefault="00C81E39">
            <w:pPr>
              <w:pStyle w:val="Heading2"/>
              <w:spacing w:before="60" w:after="60"/>
              <w:ind w:left="0" w:firstLine="0"/>
              <w:jc w:val="center"/>
              <w:rPr>
                <w:rFonts w:ascii="Arial" w:eastAsia="Arial" w:hAnsi="Arial" w:cs="Arial"/>
                <w:sz w:val="20"/>
                <w:szCs w:val="20"/>
              </w:rPr>
            </w:pPr>
            <w:r>
              <w:rPr>
                <w:rFonts w:ascii="Arial" w:eastAsia="Arial" w:hAnsi="Arial" w:cs="Arial"/>
                <w:sz w:val="20"/>
                <w:szCs w:val="20"/>
              </w:rPr>
              <w:t>5 months Rental</w:t>
            </w:r>
          </w:p>
        </w:tc>
        <w:tc>
          <w:tcPr>
            <w:tcW w:w="1636" w:type="dxa"/>
            <w:shd w:val="clear" w:color="auto" w:fill="auto"/>
            <w:vAlign w:val="center"/>
          </w:tcPr>
          <w:p w:rsidR="002E58C4" w:rsidRDefault="00C81E39">
            <w:pPr>
              <w:pStyle w:val="Heading2"/>
              <w:spacing w:before="60" w:after="60"/>
              <w:ind w:left="0" w:firstLine="0"/>
              <w:jc w:val="center"/>
              <w:rPr>
                <w:rFonts w:ascii="Arial" w:eastAsia="Arial" w:hAnsi="Arial" w:cs="Arial"/>
                <w:sz w:val="20"/>
                <w:szCs w:val="20"/>
              </w:rPr>
            </w:pPr>
            <w:r>
              <w:rPr>
                <w:rFonts w:ascii="Arial" w:eastAsia="Arial" w:hAnsi="Arial" w:cs="Arial"/>
                <w:sz w:val="20"/>
                <w:szCs w:val="20"/>
              </w:rPr>
              <w:t>6 months Rental</w:t>
            </w:r>
          </w:p>
        </w:tc>
        <w:tc>
          <w:tcPr>
            <w:tcW w:w="1636" w:type="dxa"/>
            <w:shd w:val="clear" w:color="auto" w:fill="auto"/>
            <w:vAlign w:val="center"/>
          </w:tcPr>
          <w:p w:rsidR="002E58C4" w:rsidRDefault="00C81E39">
            <w:pPr>
              <w:pStyle w:val="Heading2"/>
              <w:spacing w:before="60" w:after="60"/>
              <w:ind w:left="-69" w:firstLine="0"/>
              <w:jc w:val="center"/>
              <w:rPr>
                <w:rFonts w:ascii="Arial" w:eastAsia="Arial" w:hAnsi="Arial" w:cs="Arial"/>
                <w:sz w:val="20"/>
                <w:szCs w:val="20"/>
              </w:rPr>
            </w:pPr>
            <w:r>
              <w:rPr>
                <w:rFonts w:ascii="Arial" w:eastAsia="Arial" w:hAnsi="Arial" w:cs="Arial"/>
                <w:sz w:val="20"/>
                <w:szCs w:val="20"/>
              </w:rPr>
              <w:t>7 months Rental</w:t>
            </w:r>
          </w:p>
        </w:tc>
      </w:tr>
      <w:tr w:rsidR="002E58C4">
        <w:trPr>
          <w:trHeight w:val="466"/>
        </w:trPr>
        <w:tc>
          <w:tcPr>
            <w:tcW w:w="1677" w:type="dxa"/>
            <w:shd w:val="clear" w:color="auto" w:fill="C2D69B"/>
            <w:vAlign w:val="center"/>
          </w:tcPr>
          <w:p w:rsidR="002E58C4" w:rsidRDefault="00C81E39">
            <w:pPr>
              <w:pStyle w:val="Heading2"/>
              <w:spacing w:after="0"/>
              <w:ind w:left="0" w:firstLine="0"/>
              <w:jc w:val="center"/>
              <w:rPr>
                <w:rFonts w:ascii="Arial" w:eastAsia="Arial" w:hAnsi="Arial" w:cs="Arial"/>
                <w:sz w:val="20"/>
                <w:szCs w:val="20"/>
              </w:rPr>
            </w:pPr>
            <w:r>
              <w:rPr>
                <w:rFonts w:ascii="Arial" w:eastAsia="Arial" w:hAnsi="Arial" w:cs="Arial"/>
                <w:sz w:val="20"/>
                <w:szCs w:val="20"/>
              </w:rPr>
              <w:t>2</w:t>
            </w:r>
          </w:p>
        </w:tc>
        <w:tc>
          <w:tcPr>
            <w:tcW w:w="1636" w:type="dxa"/>
            <w:shd w:val="clear" w:color="auto" w:fill="auto"/>
            <w:vAlign w:val="center"/>
          </w:tcPr>
          <w:p w:rsidR="002E58C4" w:rsidRDefault="00C81E39">
            <w:pPr>
              <w:pStyle w:val="Heading2"/>
              <w:spacing w:before="60" w:after="60"/>
              <w:ind w:left="0" w:firstLine="0"/>
              <w:jc w:val="center"/>
              <w:rPr>
                <w:rFonts w:ascii="Arial" w:eastAsia="Arial" w:hAnsi="Arial" w:cs="Arial"/>
                <w:sz w:val="20"/>
                <w:szCs w:val="20"/>
              </w:rPr>
            </w:pPr>
            <w:r>
              <w:rPr>
                <w:rFonts w:ascii="Arial" w:eastAsia="Arial" w:hAnsi="Arial" w:cs="Arial"/>
                <w:sz w:val="20"/>
                <w:szCs w:val="20"/>
              </w:rPr>
              <w:t>1 months Rental</w:t>
            </w:r>
          </w:p>
        </w:tc>
        <w:tc>
          <w:tcPr>
            <w:tcW w:w="1636" w:type="dxa"/>
            <w:shd w:val="clear" w:color="auto" w:fill="auto"/>
            <w:vAlign w:val="center"/>
          </w:tcPr>
          <w:p w:rsidR="002E58C4" w:rsidRDefault="00C81E39">
            <w:pPr>
              <w:pStyle w:val="Heading2"/>
              <w:spacing w:before="60" w:after="60"/>
              <w:ind w:left="0" w:firstLine="0"/>
              <w:jc w:val="center"/>
              <w:rPr>
                <w:rFonts w:ascii="Arial" w:eastAsia="Arial" w:hAnsi="Arial" w:cs="Arial"/>
                <w:sz w:val="20"/>
                <w:szCs w:val="20"/>
              </w:rPr>
            </w:pPr>
            <w:r>
              <w:rPr>
                <w:rFonts w:ascii="Arial" w:eastAsia="Arial" w:hAnsi="Arial" w:cs="Arial"/>
                <w:sz w:val="20"/>
                <w:szCs w:val="20"/>
              </w:rPr>
              <w:t>3 months Rental</w:t>
            </w:r>
          </w:p>
        </w:tc>
        <w:tc>
          <w:tcPr>
            <w:tcW w:w="1636" w:type="dxa"/>
            <w:shd w:val="clear" w:color="auto" w:fill="auto"/>
            <w:vAlign w:val="center"/>
          </w:tcPr>
          <w:p w:rsidR="002E58C4" w:rsidRDefault="00C81E39">
            <w:pPr>
              <w:pStyle w:val="Heading2"/>
              <w:spacing w:before="60" w:after="60"/>
              <w:ind w:left="0" w:firstLine="0"/>
              <w:jc w:val="center"/>
              <w:rPr>
                <w:rFonts w:ascii="Arial" w:eastAsia="Arial" w:hAnsi="Arial" w:cs="Arial"/>
                <w:sz w:val="20"/>
                <w:szCs w:val="20"/>
              </w:rPr>
            </w:pPr>
            <w:r>
              <w:rPr>
                <w:rFonts w:ascii="Arial" w:eastAsia="Arial" w:hAnsi="Arial" w:cs="Arial"/>
                <w:sz w:val="20"/>
                <w:szCs w:val="20"/>
              </w:rPr>
              <w:t>4 months Rental</w:t>
            </w:r>
          </w:p>
        </w:tc>
        <w:tc>
          <w:tcPr>
            <w:tcW w:w="1636" w:type="dxa"/>
            <w:shd w:val="clear" w:color="auto" w:fill="auto"/>
            <w:vAlign w:val="center"/>
          </w:tcPr>
          <w:p w:rsidR="002E58C4" w:rsidRDefault="00C81E39">
            <w:pPr>
              <w:pStyle w:val="Heading2"/>
              <w:spacing w:before="60" w:after="60"/>
              <w:ind w:left="-69" w:firstLine="0"/>
              <w:jc w:val="center"/>
              <w:rPr>
                <w:rFonts w:ascii="Arial" w:eastAsia="Arial" w:hAnsi="Arial" w:cs="Arial"/>
                <w:sz w:val="20"/>
                <w:szCs w:val="20"/>
              </w:rPr>
            </w:pPr>
            <w:r>
              <w:rPr>
                <w:rFonts w:ascii="Arial" w:eastAsia="Arial" w:hAnsi="Arial" w:cs="Arial"/>
                <w:sz w:val="20"/>
                <w:szCs w:val="20"/>
              </w:rPr>
              <w:t>5 months Rental</w:t>
            </w:r>
          </w:p>
        </w:tc>
      </w:tr>
      <w:tr w:rsidR="002E58C4">
        <w:trPr>
          <w:trHeight w:val="466"/>
        </w:trPr>
        <w:tc>
          <w:tcPr>
            <w:tcW w:w="1677" w:type="dxa"/>
            <w:shd w:val="clear" w:color="auto" w:fill="C2D69B"/>
            <w:vAlign w:val="center"/>
          </w:tcPr>
          <w:p w:rsidR="002E58C4" w:rsidRDefault="00C81E39">
            <w:pPr>
              <w:pStyle w:val="Heading2"/>
              <w:spacing w:after="0"/>
              <w:ind w:left="0" w:firstLine="0"/>
              <w:jc w:val="center"/>
              <w:rPr>
                <w:rFonts w:ascii="Arial" w:eastAsia="Arial" w:hAnsi="Arial" w:cs="Arial"/>
                <w:sz w:val="20"/>
                <w:szCs w:val="20"/>
              </w:rPr>
            </w:pPr>
            <w:r>
              <w:rPr>
                <w:rFonts w:ascii="Arial" w:eastAsia="Arial" w:hAnsi="Arial" w:cs="Arial"/>
                <w:sz w:val="20"/>
                <w:szCs w:val="20"/>
              </w:rPr>
              <w:t>3</w:t>
            </w:r>
          </w:p>
        </w:tc>
        <w:tc>
          <w:tcPr>
            <w:tcW w:w="1636" w:type="dxa"/>
            <w:shd w:val="clear" w:color="auto" w:fill="D9D9D9"/>
            <w:vAlign w:val="center"/>
          </w:tcPr>
          <w:p w:rsidR="002E58C4" w:rsidRDefault="002E58C4">
            <w:pPr>
              <w:pStyle w:val="Heading2"/>
              <w:spacing w:before="60" w:after="60"/>
              <w:ind w:left="720" w:firstLine="0"/>
              <w:jc w:val="center"/>
              <w:rPr>
                <w:rFonts w:ascii="Arial" w:eastAsia="Arial" w:hAnsi="Arial" w:cs="Arial"/>
                <w:sz w:val="20"/>
                <w:szCs w:val="20"/>
              </w:rPr>
            </w:pPr>
          </w:p>
        </w:tc>
        <w:tc>
          <w:tcPr>
            <w:tcW w:w="1636" w:type="dxa"/>
            <w:shd w:val="clear" w:color="auto" w:fill="auto"/>
            <w:vAlign w:val="center"/>
          </w:tcPr>
          <w:p w:rsidR="002E58C4" w:rsidRDefault="00C81E39">
            <w:pPr>
              <w:pStyle w:val="Heading2"/>
              <w:spacing w:before="60" w:after="60"/>
              <w:ind w:left="0" w:firstLine="0"/>
              <w:jc w:val="center"/>
              <w:rPr>
                <w:rFonts w:ascii="Arial" w:eastAsia="Arial" w:hAnsi="Arial" w:cs="Arial"/>
                <w:sz w:val="20"/>
                <w:szCs w:val="20"/>
              </w:rPr>
            </w:pPr>
            <w:r>
              <w:rPr>
                <w:rFonts w:ascii="Arial" w:eastAsia="Arial" w:hAnsi="Arial" w:cs="Arial"/>
                <w:sz w:val="20"/>
                <w:szCs w:val="20"/>
              </w:rPr>
              <w:t>1 months Rental</w:t>
            </w:r>
          </w:p>
        </w:tc>
        <w:tc>
          <w:tcPr>
            <w:tcW w:w="1636" w:type="dxa"/>
            <w:shd w:val="clear" w:color="auto" w:fill="auto"/>
            <w:vAlign w:val="center"/>
          </w:tcPr>
          <w:p w:rsidR="002E58C4" w:rsidRDefault="00C81E39">
            <w:pPr>
              <w:pStyle w:val="Heading2"/>
              <w:spacing w:before="60" w:after="60"/>
              <w:ind w:left="0" w:firstLine="0"/>
              <w:jc w:val="center"/>
              <w:rPr>
                <w:rFonts w:ascii="Arial" w:eastAsia="Arial" w:hAnsi="Arial" w:cs="Arial"/>
                <w:sz w:val="20"/>
                <w:szCs w:val="20"/>
              </w:rPr>
            </w:pPr>
            <w:r>
              <w:rPr>
                <w:rFonts w:ascii="Arial" w:eastAsia="Arial" w:hAnsi="Arial" w:cs="Arial"/>
                <w:sz w:val="20"/>
                <w:szCs w:val="20"/>
              </w:rPr>
              <w:t>2 months Rental</w:t>
            </w:r>
          </w:p>
        </w:tc>
        <w:tc>
          <w:tcPr>
            <w:tcW w:w="1636" w:type="dxa"/>
            <w:shd w:val="clear" w:color="auto" w:fill="auto"/>
            <w:vAlign w:val="center"/>
          </w:tcPr>
          <w:p w:rsidR="002E58C4" w:rsidRDefault="00C81E39">
            <w:pPr>
              <w:pStyle w:val="Heading2"/>
              <w:spacing w:before="60" w:after="60"/>
              <w:ind w:left="-69" w:firstLine="0"/>
              <w:jc w:val="center"/>
              <w:rPr>
                <w:rFonts w:ascii="Arial" w:eastAsia="Arial" w:hAnsi="Arial" w:cs="Arial"/>
                <w:sz w:val="20"/>
                <w:szCs w:val="20"/>
              </w:rPr>
            </w:pPr>
            <w:r>
              <w:rPr>
                <w:rFonts w:ascii="Arial" w:eastAsia="Arial" w:hAnsi="Arial" w:cs="Arial"/>
                <w:sz w:val="20"/>
                <w:szCs w:val="20"/>
              </w:rPr>
              <w:t>3 months Rental</w:t>
            </w:r>
          </w:p>
        </w:tc>
      </w:tr>
      <w:tr w:rsidR="002E58C4">
        <w:trPr>
          <w:trHeight w:val="466"/>
        </w:trPr>
        <w:tc>
          <w:tcPr>
            <w:tcW w:w="1677" w:type="dxa"/>
            <w:shd w:val="clear" w:color="auto" w:fill="C2D69B"/>
            <w:vAlign w:val="center"/>
          </w:tcPr>
          <w:p w:rsidR="002E58C4" w:rsidRDefault="00C81E39">
            <w:pPr>
              <w:pStyle w:val="Heading2"/>
              <w:spacing w:after="0"/>
              <w:ind w:left="0" w:firstLine="0"/>
              <w:jc w:val="center"/>
              <w:rPr>
                <w:rFonts w:ascii="Arial" w:eastAsia="Arial" w:hAnsi="Arial" w:cs="Arial"/>
                <w:sz w:val="20"/>
                <w:szCs w:val="20"/>
              </w:rPr>
            </w:pPr>
            <w:r>
              <w:rPr>
                <w:rFonts w:ascii="Arial" w:eastAsia="Arial" w:hAnsi="Arial" w:cs="Arial"/>
                <w:sz w:val="20"/>
                <w:szCs w:val="20"/>
              </w:rPr>
              <w:t>4</w:t>
            </w:r>
          </w:p>
        </w:tc>
        <w:tc>
          <w:tcPr>
            <w:tcW w:w="1636" w:type="dxa"/>
            <w:shd w:val="clear" w:color="auto" w:fill="D9D9D9"/>
            <w:vAlign w:val="center"/>
          </w:tcPr>
          <w:p w:rsidR="002E58C4" w:rsidRDefault="002E58C4">
            <w:pPr>
              <w:pStyle w:val="Heading2"/>
              <w:spacing w:before="60" w:after="60"/>
              <w:ind w:left="720" w:firstLine="0"/>
              <w:jc w:val="center"/>
              <w:rPr>
                <w:rFonts w:ascii="Arial" w:eastAsia="Arial" w:hAnsi="Arial" w:cs="Arial"/>
                <w:sz w:val="20"/>
                <w:szCs w:val="20"/>
              </w:rPr>
            </w:pPr>
          </w:p>
        </w:tc>
        <w:tc>
          <w:tcPr>
            <w:tcW w:w="1636" w:type="dxa"/>
            <w:shd w:val="clear" w:color="auto" w:fill="D9D9D9"/>
            <w:vAlign w:val="center"/>
          </w:tcPr>
          <w:p w:rsidR="002E58C4" w:rsidRDefault="002E58C4">
            <w:pPr>
              <w:pStyle w:val="Heading2"/>
              <w:spacing w:before="60" w:after="60"/>
              <w:ind w:left="720" w:firstLine="0"/>
              <w:jc w:val="center"/>
              <w:rPr>
                <w:rFonts w:ascii="Arial" w:eastAsia="Arial" w:hAnsi="Arial" w:cs="Arial"/>
                <w:sz w:val="20"/>
                <w:szCs w:val="20"/>
              </w:rPr>
            </w:pPr>
          </w:p>
        </w:tc>
        <w:tc>
          <w:tcPr>
            <w:tcW w:w="1636" w:type="dxa"/>
            <w:shd w:val="clear" w:color="auto" w:fill="auto"/>
            <w:vAlign w:val="center"/>
          </w:tcPr>
          <w:p w:rsidR="002E58C4" w:rsidRDefault="00C81E39">
            <w:pPr>
              <w:pStyle w:val="Heading2"/>
              <w:spacing w:before="60" w:after="60"/>
              <w:ind w:left="0" w:firstLine="0"/>
              <w:jc w:val="center"/>
              <w:rPr>
                <w:rFonts w:ascii="Arial" w:eastAsia="Arial" w:hAnsi="Arial" w:cs="Arial"/>
                <w:sz w:val="20"/>
                <w:szCs w:val="20"/>
              </w:rPr>
            </w:pPr>
            <w:r>
              <w:rPr>
                <w:rFonts w:ascii="Arial" w:eastAsia="Arial" w:hAnsi="Arial" w:cs="Arial"/>
                <w:sz w:val="20"/>
                <w:szCs w:val="20"/>
              </w:rPr>
              <w:t>1 months Rental</w:t>
            </w:r>
          </w:p>
        </w:tc>
        <w:tc>
          <w:tcPr>
            <w:tcW w:w="1636" w:type="dxa"/>
            <w:shd w:val="clear" w:color="auto" w:fill="auto"/>
            <w:vAlign w:val="center"/>
          </w:tcPr>
          <w:p w:rsidR="002E58C4" w:rsidRDefault="00C81E39">
            <w:pPr>
              <w:pStyle w:val="Heading2"/>
              <w:spacing w:before="60" w:after="60"/>
              <w:ind w:left="-69" w:firstLine="0"/>
              <w:jc w:val="center"/>
              <w:rPr>
                <w:rFonts w:ascii="Arial" w:eastAsia="Arial" w:hAnsi="Arial" w:cs="Arial"/>
                <w:sz w:val="20"/>
                <w:szCs w:val="20"/>
              </w:rPr>
            </w:pPr>
            <w:r>
              <w:rPr>
                <w:rFonts w:ascii="Arial" w:eastAsia="Arial" w:hAnsi="Arial" w:cs="Arial"/>
                <w:sz w:val="20"/>
                <w:szCs w:val="20"/>
              </w:rPr>
              <w:t>2 months Rental</w:t>
            </w:r>
          </w:p>
        </w:tc>
      </w:tr>
      <w:tr w:rsidR="002E58C4">
        <w:trPr>
          <w:trHeight w:val="466"/>
        </w:trPr>
        <w:tc>
          <w:tcPr>
            <w:tcW w:w="1677" w:type="dxa"/>
            <w:shd w:val="clear" w:color="auto" w:fill="C2D69B"/>
            <w:vAlign w:val="center"/>
          </w:tcPr>
          <w:p w:rsidR="002E58C4" w:rsidRDefault="00C81E39">
            <w:pPr>
              <w:pStyle w:val="Heading2"/>
              <w:spacing w:after="0"/>
              <w:ind w:left="0" w:firstLine="0"/>
              <w:jc w:val="center"/>
              <w:rPr>
                <w:rFonts w:ascii="Arial" w:eastAsia="Arial" w:hAnsi="Arial" w:cs="Arial"/>
                <w:sz w:val="20"/>
                <w:szCs w:val="20"/>
              </w:rPr>
            </w:pPr>
            <w:r>
              <w:rPr>
                <w:rFonts w:ascii="Arial" w:eastAsia="Arial" w:hAnsi="Arial" w:cs="Arial"/>
                <w:sz w:val="20"/>
                <w:szCs w:val="20"/>
              </w:rPr>
              <w:t>5</w:t>
            </w:r>
          </w:p>
        </w:tc>
        <w:tc>
          <w:tcPr>
            <w:tcW w:w="1636" w:type="dxa"/>
            <w:shd w:val="clear" w:color="auto" w:fill="D9D9D9"/>
            <w:vAlign w:val="center"/>
          </w:tcPr>
          <w:p w:rsidR="002E58C4" w:rsidRDefault="002E58C4">
            <w:pPr>
              <w:pStyle w:val="Heading2"/>
              <w:spacing w:before="60" w:after="60"/>
              <w:ind w:left="720" w:firstLine="0"/>
              <w:jc w:val="center"/>
              <w:rPr>
                <w:rFonts w:ascii="Arial" w:eastAsia="Arial" w:hAnsi="Arial" w:cs="Arial"/>
                <w:sz w:val="20"/>
                <w:szCs w:val="20"/>
              </w:rPr>
            </w:pPr>
          </w:p>
        </w:tc>
        <w:tc>
          <w:tcPr>
            <w:tcW w:w="1636" w:type="dxa"/>
            <w:shd w:val="clear" w:color="auto" w:fill="D9D9D9"/>
            <w:vAlign w:val="center"/>
          </w:tcPr>
          <w:p w:rsidR="002E58C4" w:rsidRDefault="002E58C4">
            <w:pPr>
              <w:pStyle w:val="Heading2"/>
              <w:spacing w:before="60" w:after="60"/>
              <w:ind w:left="720" w:firstLine="0"/>
              <w:jc w:val="center"/>
              <w:rPr>
                <w:rFonts w:ascii="Arial" w:eastAsia="Arial" w:hAnsi="Arial" w:cs="Arial"/>
                <w:sz w:val="20"/>
                <w:szCs w:val="20"/>
              </w:rPr>
            </w:pPr>
          </w:p>
        </w:tc>
        <w:tc>
          <w:tcPr>
            <w:tcW w:w="1636" w:type="dxa"/>
            <w:shd w:val="clear" w:color="auto" w:fill="D9D9D9"/>
            <w:vAlign w:val="center"/>
          </w:tcPr>
          <w:p w:rsidR="002E58C4" w:rsidRDefault="002E58C4">
            <w:pPr>
              <w:pStyle w:val="Heading2"/>
              <w:spacing w:before="60" w:after="60"/>
              <w:ind w:left="720" w:firstLine="0"/>
              <w:jc w:val="center"/>
              <w:rPr>
                <w:rFonts w:ascii="Arial" w:eastAsia="Arial" w:hAnsi="Arial" w:cs="Arial"/>
                <w:sz w:val="20"/>
                <w:szCs w:val="20"/>
              </w:rPr>
            </w:pPr>
          </w:p>
        </w:tc>
        <w:tc>
          <w:tcPr>
            <w:tcW w:w="1636" w:type="dxa"/>
            <w:shd w:val="clear" w:color="auto" w:fill="auto"/>
            <w:vAlign w:val="center"/>
          </w:tcPr>
          <w:p w:rsidR="002E58C4" w:rsidRDefault="00C81E39">
            <w:pPr>
              <w:pStyle w:val="Heading2"/>
              <w:spacing w:before="60" w:after="60"/>
              <w:ind w:left="-69" w:firstLine="0"/>
              <w:jc w:val="center"/>
              <w:rPr>
                <w:rFonts w:ascii="Arial" w:eastAsia="Arial" w:hAnsi="Arial" w:cs="Arial"/>
                <w:sz w:val="20"/>
                <w:szCs w:val="20"/>
              </w:rPr>
            </w:pPr>
            <w:bookmarkStart w:id="29" w:name="_heading=h.1pxezwc" w:colFirst="0" w:colLast="0"/>
            <w:bookmarkEnd w:id="29"/>
            <w:r>
              <w:rPr>
                <w:rFonts w:ascii="Arial" w:eastAsia="Arial" w:hAnsi="Arial" w:cs="Arial"/>
                <w:sz w:val="20"/>
                <w:szCs w:val="20"/>
              </w:rPr>
              <w:t>1 months Rental</w:t>
            </w:r>
          </w:p>
        </w:tc>
      </w:tr>
    </w:tbl>
    <w:p w:rsidR="002E58C4" w:rsidRDefault="002E58C4">
      <w:pPr>
        <w:pBdr>
          <w:top w:val="nil"/>
          <w:left w:val="nil"/>
          <w:bottom w:val="nil"/>
          <w:right w:val="nil"/>
          <w:between w:val="nil"/>
        </w:pBdr>
        <w:ind w:left="540"/>
        <w:jc w:val="both"/>
        <w:rPr>
          <w:rFonts w:ascii="Arial" w:eastAsia="Arial" w:hAnsi="Arial" w:cs="Arial"/>
          <w:color w:val="000000"/>
        </w:rPr>
      </w:pPr>
    </w:p>
    <w:p w:rsidR="002E58C4" w:rsidRDefault="002E58C4">
      <w:pPr>
        <w:pBdr>
          <w:top w:val="nil"/>
          <w:left w:val="nil"/>
          <w:bottom w:val="nil"/>
          <w:right w:val="nil"/>
          <w:between w:val="nil"/>
        </w:pBdr>
        <w:rPr>
          <w:color w:val="000000"/>
        </w:rPr>
      </w:pPr>
    </w:p>
    <w:p w:rsidR="002E58C4" w:rsidRDefault="00C81E39">
      <w:pPr>
        <w:pStyle w:val="Heading2"/>
        <w:numPr>
          <w:ilvl w:val="1"/>
          <w:numId w:val="4"/>
        </w:numPr>
        <w:ind w:left="1560" w:hanging="709"/>
        <w:rPr>
          <w:rFonts w:ascii="Arial" w:eastAsia="Arial" w:hAnsi="Arial" w:cs="Arial"/>
          <w:sz w:val="24"/>
          <w:szCs w:val="24"/>
        </w:rPr>
      </w:pPr>
      <w:r>
        <w:rPr>
          <w:rFonts w:ascii="Arial" w:eastAsia="Arial" w:hAnsi="Arial" w:cs="Arial"/>
          <w:sz w:val="24"/>
          <w:szCs w:val="24"/>
        </w:rPr>
        <w:t>The Supplier must, if the balance is positive, invoice or, if the balance is negative, credit the Buyer within thirty (30) days the balance of any advance Rentals paid by the Buyer.</w:t>
      </w:r>
    </w:p>
    <w:p w:rsidR="002E58C4" w:rsidRDefault="00C81E39">
      <w:pPr>
        <w:pStyle w:val="Heading2"/>
        <w:ind w:left="0" w:firstLine="0"/>
        <w:rPr>
          <w:rFonts w:ascii="Arial" w:eastAsia="Arial" w:hAnsi="Arial" w:cs="Arial"/>
          <w:b/>
          <w:sz w:val="24"/>
          <w:szCs w:val="24"/>
        </w:rPr>
      </w:pPr>
      <w:r>
        <w:rPr>
          <w:rFonts w:ascii="Arial" w:eastAsia="Arial" w:hAnsi="Arial" w:cs="Arial"/>
          <w:b/>
          <w:sz w:val="24"/>
          <w:szCs w:val="24"/>
        </w:rPr>
        <w:t xml:space="preserve">Terminating Equipment that is converted and/or is over 3.5 tonnes </w:t>
      </w:r>
    </w:p>
    <w:p w:rsidR="002E58C4" w:rsidRDefault="00C81E39">
      <w:pPr>
        <w:pStyle w:val="Heading2"/>
        <w:numPr>
          <w:ilvl w:val="1"/>
          <w:numId w:val="4"/>
        </w:numPr>
        <w:ind w:left="1560" w:hanging="709"/>
        <w:rPr>
          <w:rFonts w:ascii="Arial" w:eastAsia="Arial" w:hAnsi="Arial" w:cs="Arial"/>
          <w:sz w:val="24"/>
          <w:szCs w:val="24"/>
        </w:rPr>
      </w:pPr>
      <w:bookmarkStart w:id="30" w:name="_heading=h.49x2ik5" w:colFirst="0" w:colLast="0"/>
      <w:bookmarkEnd w:id="30"/>
      <w:r>
        <w:rPr>
          <w:rFonts w:ascii="Arial" w:eastAsia="Arial" w:hAnsi="Arial" w:cs="Arial"/>
          <w:sz w:val="24"/>
          <w:szCs w:val="24"/>
        </w:rPr>
        <w:t>Where paragraph 11.1 applies and the Equipment is a converted vehicle or a commercial vehicle over 3.5 tonnes, the early termination charges will be calculated in accordance with this paragraph 11.5. The Supplier must, if the balance is positive, invoice or, if the balance is negative, credit the Buyer within thirty (30) days the balance of:</w:t>
      </w:r>
    </w:p>
    <w:p w:rsidR="002E58C4" w:rsidRDefault="00C81E39">
      <w:pPr>
        <w:pStyle w:val="Heading2"/>
        <w:numPr>
          <w:ilvl w:val="2"/>
          <w:numId w:val="4"/>
        </w:numPr>
        <w:ind w:left="2410" w:hanging="851"/>
        <w:rPr>
          <w:rFonts w:ascii="Arial" w:eastAsia="Arial" w:hAnsi="Arial" w:cs="Arial"/>
          <w:sz w:val="24"/>
          <w:szCs w:val="24"/>
        </w:rPr>
      </w:pPr>
      <w:r>
        <w:rPr>
          <w:rFonts w:ascii="Arial" w:eastAsia="Arial" w:hAnsi="Arial" w:cs="Arial"/>
          <w:sz w:val="24"/>
          <w:szCs w:val="24"/>
        </w:rPr>
        <w:t>the vehicle’s Net Book Value; less</w:t>
      </w:r>
    </w:p>
    <w:p w:rsidR="002E58C4" w:rsidRDefault="00C81E39">
      <w:pPr>
        <w:pStyle w:val="Heading2"/>
        <w:numPr>
          <w:ilvl w:val="2"/>
          <w:numId w:val="4"/>
        </w:numPr>
        <w:ind w:left="2410" w:hanging="851"/>
        <w:rPr>
          <w:rFonts w:ascii="Arial" w:eastAsia="Arial" w:hAnsi="Arial" w:cs="Arial"/>
          <w:sz w:val="24"/>
          <w:szCs w:val="24"/>
        </w:rPr>
      </w:pPr>
      <w:r>
        <w:rPr>
          <w:rFonts w:ascii="Arial" w:eastAsia="Arial" w:hAnsi="Arial" w:cs="Arial"/>
          <w:sz w:val="24"/>
          <w:szCs w:val="24"/>
        </w:rPr>
        <w:t>any advance Rentals paid by the Buyer; less</w:t>
      </w:r>
    </w:p>
    <w:p w:rsidR="002E58C4" w:rsidRDefault="00C81E39">
      <w:pPr>
        <w:pStyle w:val="Heading2"/>
        <w:numPr>
          <w:ilvl w:val="2"/>
          <w:numId w:val="4"/>
        </w:numPr>
        <w:ind w:left="2410" w:hanging="851"/>
        <w:rPr>
          <w:rFonts w:ascii="Arial" w:eastAsia="Arial" w:hAnsi="Arial" w:cs="Arial"/>
          <w:sz w:val="24"/>
          <w:szCs w:val="24"/>
        </w:rPr>
      </w:pPr>
      <w:bookmarkStart w:id="31" w:name="_heading=h.2p2csry" w:colFirst="0" w:colLast="0"/>
      <w:bookmarkEnd w:id="31"/>
      <w:r>
        <w:rPr>
          <w:rFonts w:ascii="Arial" w:eastAsia="Arial" w:hAnsi="Arial" w:cs="Arial"/>
          <w:sz w:val="24"/>
          <w:szCs w:val="24"/>
        </w:rPr>
        <w:t xml:space="preserve">the sales proceeds of the Equipment or, if the Supplier does not sell the Equipment, the "clean" value of that piece of </w:t>
      </w:r>
      <w:r>
        <w:rPr>
          <w:rFonts w:ascii="Arial" w:eastAsia="Arial" w:hAnsi="Arial" w:cs="Arial"/>
          <w:sz w:val="24"/>
          <w:szCs w:val="24"/>
        </w:rPr>
        <w:lastRenderedPageBreak/>
        <w:t>Equipment as calculated in accordance with the Call-Off Contract as at the date of termination.</w:t>
      </w:r>
    </w:p>
    <w:p w:rsidR="002E58C4" w:rsidRDefault="00C81E39">
      <w:pPr>
        <w:pStyle w:val="Heading2"/>
        <w:numPr>
          <w:ilvl w:val="1"/>
          <w:numId w:val="4"/>
        </w:numPr>
        <w:ind w:left="1560" w:hanging="709"/>
        <w:rPr>
          <w:rFonts w:ascii="Arial" w:eastAsia="Arial" w:hAnsi="Arial" w:cs="Arial"/>
          <w:sz w:val="24"/>
          <w:szCs w:val="24"/>
        </w:rPr>
      </w:pPr>
      <w:bookmarkStart w:id="32" w:name="_heading=h.147n2zr" w:colFirst="0" w:colLast="0"/>
      <w:bookmarkEnd w:id="32"/>
      <w:r>
        <w:rPr>
          <w:rFonts w:ascii="Arial" w:eastAsia="Arial" w:hAnsi="Arial" w:cs="Arial"/>
          <w:sz w:val="24"/>
          <w:szCs w:val="24"/>
        </w:rPr>
        <w:t>Where paragraph 11.1 applies or where the lease of a piece of Equipment is terminated for any other reason (including Total Loss but excluding termination pursuant to Clause 10 of the Core Terms) the Buyer must, within thirty (30) days of the termination pay the Supplier the Termination Sum by way of agreed liquidated damages.</w:t>
      </w:r>
    </w:p>
    <w:p w:rsidR="002E58C4" w:rsidRDefault="00C81E39">
      <w:pPr>
        <w:pStyle w:val="Heading2"/>
        <w:numPr>
          <w:ilvl w:val="1"/>
          <w:numId w:val="4"/>
        </w:numPr>
        <w:ind w:left="1560" w:hanging="709"/>
        <w:rPr>
          <w:rFonts w:ascii="Arial" w:eastAsia="Arial" w:hAnsi="Arial" w:cs="Arial"/>
          <w:sz w:val="24"/>
          <w:szCs w:val="24"/>
        </w:rPr>
      </w:pPr>
      <w:r>
        <w:rPr>
          <w:rFonts w:ascii="Arial" w:eastAsia="Arial" w:hAnsi="Arial" w:cs="Arial"/>
          <w:sz w:val="24"/>
          <w:szCs w:val="24"/>
        </w:rPr>
        <w:t>The Supplier agrees that any payments made pursuant to paragraphs 11.2, 11.3, 11.4, 11.5 or 11.6 above is the Suppliers sole and exclusive remedy in respect of the termination which resulted in the payment of money as provided for in those paragraphs.</w:t>
      </w:r>
    </w:p>
    <w:p w:rsidR="002E58C4" w:rsidRDefault="00C81E39">
      <w:pPr>
        <w:pStyle w:val="Heading2"/>
        <w:numPr>
          <w:ilvl w:val="1"/>
          <w:numId w:val="4"/>
        </w:numPr>
        <w:ind w:left="1560" w:hanging="709"/>
        <w:rPr>
          <w:rFonts w:ascii="Arial" w:eastAsia="Arial" w:hAnsi="Arial" w:cs="Arial"/>
          <w:sz w:val="24"/>
          <w:szCs w:val="24"/>
        </w:rPr>
      </w:pPr>
      <w:r>
        <w:rPr>
          <w:rFonts w:ascii="Arial" w:eastAsia="Arial" w:hAnsi="Arial" w:cs="Arial"/>
          <w:sz w:val="24"/>
          <w:szCs w:val="24"/>
        </w:rPr>
        <w:t>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rsidR="002E58C4" w:rsidRDefault="00C81E39">
      <w:pPr>
        <w:pStyle w:val="Heading1"/>
        <w:numPr>
          <w:ilvl w:val="0"/>
          <w:numId w:val="4"/>
        </w:numPr>
        <w:rPr>
          <w:rFonts w:ascii="Arial Bold" w:eastAsia="Arial Bold" w:hAnsi="Arial Bold" w:cs="Arial Bold"/>
          <w:smallCaps w:val="0"/>
          <w:sz w:val="24"/>
          <w:szCs w:val="24"/>
        </w:rPr>
      </w:pPr>
      <w:r>
        <w:rPr>
          <w:rFonts w:ascii="Arial Bold" w:eastAsia="Arial Bold" w:hAnsi="Arial Bold" w:cs="Arial Bold"/>
          <w:smallCaps w:val="0"/>
          <w:sz w:val="24"/>
          <w:szCs w:val="24"/>
        </w:rPr>
        <w:t>The Owner</w:t>
      </w:r>
    </w:p>
    <w:p w:rsidR="002E58C4" w:rsidRDefault="00C81E39">
      <w:pPr>
        <w:pStyle w:val="Heading2"/>
        <w:numPr>
          <w:ilvl w:val="1"/>
          <w:numId w:val="4"/>
        </w:numPr>
        <w:ind w:left="851" w:firstLine="0"/>
      </w:pPr>
      <w:r>
        <w:rPr>
          <w:rFonts w:ascii="Arial" w:eastAsia="Arial" w:hAnsi="Arial" w:cs="Arial"/>
          <w:sz w:val="24"/>
          <w:szCs w:val="24"/>
        </w:rPr>
        <w:t>If the Owner and the Supplier are not the same person:</w:t>
      </w:r>
    </w:p>
    <w:p w:rsidR="002E58C4" w:rsidRDefault="00C81E39">
      <w:pPr>
        <w:pStyle w:val="Heading2"/>
        <w:numPr>
          <w:ilvl w:val="2"/>
          <w:numId w:val="4"/>
        </w:numPr>
        <w:ind w:left="2410" w:hanging="991"/>
        <w:rPr>
          <w:rFonts w:ascii="Arial" w:eastAsia="Arial" w:hAnsi="Arial" w:cs="Arial"/>
          <w:sz w:val="24"/>
          <w:szCs w:val="24"/>
        </w:rPr>
      </w:pPr>
      <w:r>
        <w:rPr>
          <w:rFonts w:ascii="Arial" w:eastAsia="Arial" w:hAnsi="Arial" w:cs="Arial"/>
          <w:sz w:val="24"/>
          <w:szCs w:val="24"/>
        </w:rPr>
        <w:t>the Owner can enforce paragraphs 6.1, 7.1, 9, 10 and 11;</w:t>
      </w:r>
    </w:p>
    <w:p w:rsidR="002E58C4" w:rsidRDefault="00C81E39">
      <w:pPr>
        <w:pStyle w:val="Heading2"/>
        <w:numPr>
          <w:ilvl w:val="2"/>
          <w:numId w:val="4"/>
        </w:numPr>
        <w:ind w:left="2410" w:hanging="991"/>
        <w:rPr>
          <w:rFonts w:ascii="Arial" w:eastAsia="Arial" w:hAnsi="Arial" w:cs="Arial"/>
          <w:sz w:val="24"/>
          <w:szCs w:val="24"/>
        </w:rPr>
      </w:pPr>
      <w:r>
        <w:rPr>
          <w:rFonts w:ascii="Arial" w:eastAsia="Arial" w:hAnsi="Arial" w:cs="Arial"/>
          <w:sz w:val="24"/>
          <w:szCs w:val="24"/>
        </w:rPr>
        <w:t>the Buyer consents to the Supplier and Principal’s agency relationship;</w:t>
      </w:r>
    </w:p>
    <w:p w:rsidR="002E58C4" w:rsidRDefault="00C81E39">
      <w:pPr>
        <w:pStyle w:val="Heading2"/>
        <w:numPr>
          <w:ilvl w:val="2"/>
          <w:numId w:val="4"/>
        </w:numPr>
        <w:ind w:left="2410" w:hanging="991"/>
        <w:rPr>
          <w:rFonts w:ascii="Arial" w:eastAsia="Arial" w:hAnsi="Arial" w:cs="Arial"/>
          <w:sz w:val="24"/>
          <w:szCs w:val="24"/>
        </w:rPr>
      </w:pPr>
      <w:r>
        <w:rPr>
          <w:rFonts w:ascii="Arial" w:eastAsia="Arial" w:hAnsi="Arial" w:cs="Arial"/>
          <w:sz w:val="24"/>
          <w:szCs w:val="24"/>
        </w:rPr>
        <w:t xml:space="preserve">for the purpose of securing funding for the purchase of Equipment to lease to the Buyer, the Buyer consents to the Supplier, without the Buyer’s approval, assigning, novating, charging, Sub-Contracting or otherwise disposing of or creating any trust in relation to any or all of its rights, obligations or liabilities under this Call Off Contract, to, or in favour of, the Principal. </w:t>
      </w:r>
    </w:p>
    <w:sectPr w:rsidR="002E58C4">
      <w:headerReference w:type="default" r:id="rId8"/>
      <w:footerReference w:type="even" r:id="rId9"/>
      <w:footerReference w:type="default" r:id="rId10"/>
      <w:footerReference w:type="first" r:id="rId11"/>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7CE0" w:rsidRDefault="00747CE0">
      <w:r>
        <w:separator/>
      </w:r>
    </w:p>
  </w:endnote>
  <w:endnote w:type="continuationSeparator" w:id="0">
    <w:p w:rsidR="00747CE0" w:rsidRDefault="00747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panose1 w:val="00000000000000000000"/>
    <w:charset w:val="00"/>
    <w:family w:val="roman"/>
    <w:notTrueType/>
    <w:pitch w:val="default"/>
  </w:font>
  <w:font w:name="Arial Bold">
    <w:panose1 w:val="020B07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8C4" w:rsidRDefault="00C81E39">
    <w:pPr>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rsidR="002E58C4" w:rsidRDefault="002E58C4">
    <w:pPr>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8C4" w:rsidRDefault="00C81E39">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w:t>
    </w:r>
    <w:r>
      <w:rPr>
        <w:color w:val="000000"/>
      </w:rPr>
      <w:t xml:space="preserve"> </w:t>
    </w:r>
    <w:r>
      <w:rPr>
        <w:rFonts w:ascii="Arial" w:eastAsia="Arial" w:hAnsi="Arial" w:cs="Arial"/>
        <w:color w:val="000000"/>
        <w:sz w:val="20"/>
        <w:szCs w:val="20"/>
      </w:rPr>
      <w:t>RM6268 Vehicle Lease, Fleet Management and Salary Sacrifice</w:t>
    </w:r>
  </w:p>
  <w:p w:rsidR="002E58C4" w:rsidRDefault="00C81E39">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rsidR="002E58C4" w:rsidRDefault="00C81E39">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w:t>
    </w:r>
    <w:r w:rsidR="00DA6851" w:rsidRPr="00DA6851">
      <w:rPr>
        <w:rFonts w:ascii="Arial" w:eastAsia="Arial" w:hAnsi="Arial" w:cs="Arial"/>
        <w:color w:val="000000"/>
        <w:sz w:val="20"/>
        <w:szCs w:val="20"/>
      </w:rPr>
      <w:t>6</w:t>
    </w:r>
  </w:p>
  <w:p w:rsidR="002E58C4" w:rsidRDefault="002E58C4">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p w:rsidR="002E58C4" w:rsidRDefault="002E58C4">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8C4" w:rsidRDefault="002E58C4">
    <w:pPr>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7CE0" w:rsidRDefault="00747CE0">
      <w:r>
        <w:separator/>
      </w:r>
    </w:p>
  </w:footnote>
  <w:footnote w:type="continuationSeparator" w:id="0">
    <w:p w:rsidR="00747CE0" w:rsidRDefault="00747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8C4" w:rsidRDefault="00C81E39">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Call-Off Schedule 22 (Lease Terms)</w:t>
    </w:r>
  </w:p>
  <w:p w:rsidR="002E58C4" w:rsidRDefault="00C81E39">
    <w:pPr>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rsidR="002E58C4" w:rsidRDefault="00C81E39">
    <w:pPr>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2018</w:t>
    </w:r>
  </w:p>
  <w:p w:rsidR="002E58C4" w:rsidRDefault="002E58C4">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151E2B"/>
    <w:multiLevelType w:val="multilevel"/>
    <w:tmpl w:val="211C7B40"/>
    <w:lvl w:ilvl="0">
      <w:start w:val="5"/>
      <w:numFmt w:val="decimal"/>
      <w:lvlText w:val="%1"/>
      <w:lvlJc w:val="left"/>
      <w:pPr>
        <w:ind w:left="540" w:hanging="540"/>
      </w:pPr>
    </w:lvl>
    <w:lvl w:ilvl="1">
      <w:start w:val="1"/>
      <w:numFmt w:val="decimal"/>
      <w:lvlText w:val="%1.%2"/>
      <w:lvlJc w:val="left"/>
      <w:pPr>
        <w:ind w:left="1674" w:hanging="540"/>
      </w:pPr>
      <w:rPr>
        <w:rFonts w:ascii="Arial" w:eastAsia="Arial" w:hAnsi="Arial" w:cs="Arial"/>
        <w:b w:val="0"/>
        <w:i w:val="0"/>
        <w:sz w:val="24"/>
        <w:szCs w:val="24"/>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1" w15:restartNumberingAfterBreak="0">
    <w:nsid w:val="444D7939"/>
    <w:multiLevelType w:val="multilevel"/>
    <w:tmpl w:val="BCFED778"/>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9B039C6"/>
    <w:multiLevelType w:val="multilevel"/>
    <w:tmpl w:val="5EBCC404"/>
    <w:lvl w:ilvl="0">
      <w:start w:val="1"/>
      <w:numFmt w:val="lowerLetter"/>
      <w:lvlText w:val="%1)"/>
      <w:lvlJc w:val="left"/>
      <w:pPr>
        <w:ind w:left="360" w:hanging="360"/>
      </w:p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ABD6D5C"/>
    <w:multiLevelType w:val="multilevel"/>
    <w:tmpl w:val="4A200C2C"/>
    <w:lvl w:ilvl="0">
      <w:start w:val="1"/>
      <w:numFmt w:val="lowerLetter"/>
      <w:lvlText w:val="(%1)"/>
      <w:lvlJc w:val="left"/>
      <w:pPr>
        <w:ind w:left="78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97D32AB"/>
    <w:multiLevelType w:val="multilevel"/>
    <w:tmpl w:val="10C47B4E"/>
    <w:lvl w:ilvl="0">
      <w:start w:val="1"/>
      <w:numFmt w:val="lowerLetter"/>
      <w:lvlText w:val="(%1)"/>
      <w:lvlJc w:val="left"/>
      <w:pPr>
        <w:ind w:left="78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9661DD"/>
    <w:multiLevelType w:val="multilevel"/>
    <w:tmpl w:val="58120364"/>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6" w15:restartNumberingAfterBreak="0">
    <w:nsid w:val="7F4F484C"/>
    <w:multiLevelType w:val="multilevel"/>
    <w:tmpl w:val="B46647AA"/>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num w:numId="1">
    <w:abstractNumId w:val="5"/>
  </w:num>
  <w:num w:numId="2">
    <w:abstractNumId w:val="1"/>
  </w:num>
  <w:num w:numId="3">
    <w:abstractNumId w:val="3"/>
  </w:num>
  <w:num w:numId="4">
    <w:abstractNumId w:val="0"/>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8C4"/>
    <w:rsid w:val="002E58C4"/>
    <w:rsid w:val="00747CE0"/>
    <w:rsid w:val="00BD1E20"/>
    <w:rsid w:val="00C81E39"/>
    <w:rsid w:val="00CC0D1B"/>
    <w:rsid w:val="00DA68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64875E-8555-4C17-85C4-FB7EC0C43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link w:val="Heading1Char"/>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link w:val="Heading2Char"/>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customStyle="1" w:styleId="Normal1">
    <w:name w:val="Normal1"/>
  </w:style>
  <w:style w:type="paragraph" w:styleId="Subtitle">
    <w:name w:val="Subtitle"/>
    <w:basedOn w:val="Normal"/>
    <w:next w:val="Normal"/>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 w:type="character" w:customStyle="1" w:styleId="Heading1Char">
    <w:name w:val="Heading 1 Char"/>
    <w:basedOn w:val="DefaultParagraphFont"/>
    <w:link w:val="Heading1"/>
    <w:rsid w:val="000E387C"/>
    <w:rPr>
      <w:b/>
      <w:smallCaps/>
      <w:color w:val="000000"/>
      <w:sz w:val="22"/>
      <w:szCs w:val="22"/>
    </w:rPr>
  </w:style>
  <w:style w:type="paragraph" w:styleId="ListParagraph">
    <w:name w:val="List Paragraph"/>
    <w:basedOn w:val="Normal"/>
    <w:uiPriority w:val="34"/>
    <w:qFormat/>
    <w:rsid w:val="000E387C"/>
    <w:pPr>
      <w:ind w:left="720"/>
      <w:contextualSpacing/>
    </w:pPr>
  </w:style>
  <w:style w:type="character" w:customStyle="1" w:styleId="Heading2Char">
    <w:name w:val="Heading 2 Char"/>
    <w:basedOn w:val="DefaultParagraphFont"/>
    <w:link w:val="Heading2"/>
    <w:rsid w:val="000E387C"/>
    <w:rPr>
      <w:color w:val="000000"/>
      <w:sz w:val="22"/>
      <w:szCs w:val="22"/>
    </w:r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85" w:type="dxa"/>
        <w:right w:w="8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r++5K+va6KXCjgQWo5l5r3TAQA==">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5527</Words>
  <Characters>31506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Amanda Jones</cp:lastModifiedBy>
  <cp:revision>2</cp:revision>
  <dcterms:created xsi:type="dcterms:W3CDTF">2023-01-26T12:10:00Z</dcterms:created>
  <dcterms:modified xsi:type="dcterms:W3CDTF">2023-01-26T12:10:00Z</dcterms:modified>
</cp:coreProperties>
</file>